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47BDA" w14:textId="77777777" w:rsidR="00BD3965" w:rsidRPr="000B21DB" w:rsidRDefault="00BD3965" w:rsidP="00BD3965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  <w:bookmarkStart w:id="0" w:name="_GoBack"/>
      <w:bookmarkEnd w:id="0"/>
      <w:r w:rsidRPr="000B21DB">
        <w:rPr>
          <w:rFonts w:ascii="Arial" w:eastAsia="Batang" w:hAnsi="Arial" w:cs="Times New Roman"/>
          <w:noProof/>
          <w:sz w:val="24"/>
          <w:szCs w:val="20"/>
        </w:rPr>
        <w:drawing>
          <wp:inline distT="0" distB="0" distL="0" distR="0" wp14:anchorId="3F037E02" wp14:editId="0405ED52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708"/>
      </w:tblGrid>
      <w:tr w:rsidR="00BD3965" w:rsidRPr="000B21DB" w14:paraId="6A0E3B3D" w14:textId="77777777" w:rsidTr="00A95169">
        <w:tc>
          <w:tcPr>
            <w:tcW w:w="9640" w:type="dxa"/>
          </w:tcPr>
          <w:p w14:paraId="34D024FA" w14:textId="68D0BC4F" w:rsidR="00BD3965" w:rsidRPr="000B21DB" w:rsidRDefault="00BD3965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0B21D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ACCOUNTING        GRADE 12    TEST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4</w:t>
            </w:r>
            <w:r w:rsidRPr="000B21D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SELF-STUDY (LOCKDOWN) </w:t>
            </w:r>
          </w:p>
          <w:p w14:paraId="30275FF1" w14:textId="0CB2BDD0" w:rsidR="00BD3965" w:rsidRPr="000B21DB" w:rsidRDefault="00BD3965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TOPIC : </w:t>
            </w:r>
            <w:r w:rsidRPr="001662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BALANCE SHEET AND NOTES</w:t>
            </w:r>
            <w:r w:rsidRPr="001662D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Pr="000B21D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                                      </w:t>
            </w:r>
          </w:p>
          <w:p w14:paraId="7DD64B73" w14:textId="77777777" w:rsidR="00BD3965" w:rsidRPr="000B21DB" w:rsidRDefault="00BD3965" w:rsidP="00A95169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sz w:val="24"/>
                <w:szCs w:val="20"/>
                <w:lang w:val="en-ZA"/>
              </w:rPr>
            </w:pPr>
          </w:p>
        </w:tc>
        <w:tc>
          <w:tcPr>
            <w:tcW w:w="708" w:type="dxa"/>
          </w:tcPr>
          <w:p w14:paraId="21197E47" w14:textId="77777777" w:rsidR="00BD3965" w:rsidRPr="000B21DB" w:rsidRDefault="00BD3965" w:rsidP="00A95169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ZA"/>
              </w:rPr>
            </w:pPr>
          </w:p>
        </w:tc>
      </w:tr>
    </w:tbl>
    <w:p w14:paraId="16939E61" w14:textId="77777777" w:rsidR="00BD3965" w:rsidRDefault="00BD3965"/>
    <w:tbl>
      <w:tblPr>
        <w:tblpPr w:leftFromText="180" w:rightFromText="180" w:vertAnchor="text" w:tblpX="-34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497"/>
        <w:gridCol w:w="36"/>
        <w:gridCol w:w="4851"/>
        <w:gridCol w:w="782"/>
        <w:gridCol w:w="1880"/>
        <w:gridCol w:w="34"/>
        <w:gridCol w:w="675"/>
      </w:tblGrid>
      <w:tr w:rsidR="00BD0BF3" w:rsidRPr="00BD0BF3" w14:paraId="0DA744C4" w14:textId="77777777" w:rsidTr="00F5294E">
        <w:tc>
          <w:tcPr>
            <w:tcW w:w="9464" w:type="dxa"/>
            <w:gridSpan w:val="9"/>
          </w:tcPr>
          <w:p w14:paraId="72464A8F" w14:textId="0C17D70A" w:rsidR="00BD0BF3" w:rsidRPr="00BD0BF3" w:rsidRDefault="00BD0BF3" w:rsidP="00BD0B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D0BF3">
              <w:rPr>
                <w:rFonts w:ascii="Arial" w:eastAsia="Calibri" w:hAnsi="Arial" w:cs="Arial"/>
                <w:b/>
                <w:sz w:val="24"/>
                <w:szCs w:val="24"/>
                <w:lang w:val="en-SG"/>
              </w:rPr>
              <w:t xml:space="preserve">QUESTION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SG"/>
              </w:rPr>
              <w:t>1</w:t>
            </w:r>
            <w:r w:rsidRPr="00BD0BF3">
              <w:rPr>
                <w:rFonts w:ascii="Arial" w:eastAsia="Calibri" w:hAnsi="Arial" w:cs="Arial"/>
                <w:b/>
                <w:sz w:val="24"/>
                <w:szCs w:val="24"/>
                <w:lang w:val="en-SG"/>
              </w:rPr>
              <w:t>: BALANCE SHEET AND NOTES                      (75 marks; 45 minutes)</w:t>
            </w:r>
          </w:p>
        </w:tc>
      </w:tr>
      <w:tr w:rsidR="00BD0BF3" w:rsidRPr="00BD0BF3" w14:paraId="2E2C0F6F" w14:textId="77777777" w:rsidTr="00F5294E">
        <w:tc>
          <w:tcPr>
            <w:tcW w:w="8755" w:type="dxa"/>
            <w:gridSpan w:val="7"/>
          </w:tcPr>
          <w:p w14:paraId="6505CD92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AAC46FD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5EA0B78E" w14:textId="77777777" w:rsidTr="00F5294E">
        <w:tc>
          <w:tcPr>
            <w:tcW w:w="8755" w:type="dxa"/>
            <w:gridSpan w:val="7"/>
          </w:tcPr>
          <w:p w14:paraId="6B58DFA7" w14:textId="789EDED0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You are provided with information relating 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Silekwa</w:t>
            </w:r>
            <w:proofErr w:type="spellEnd"/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Limited for the financial year ended 30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</w:tc>
        <w:tc>
          <w:tcPr>
            <w:tcW w:w="709" w:type="dxa"/>
            <w:gridSpan w:val="2"/>
            <w:vAlign w:val="bottom"/>
          </w:tcPr>
          <w:p w14:paraId="4B88EAB3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3F7C6D75" w14:textId="77777777" w:rsidTr="00F5294E">
        <w:tc>
          <w:tcPr>
            <w:tcW w:w="8755" w:type="dxa"/>
            <w:gridSpan w:val="7"/>
          </w:tcPr>
          <w:p w14:paraId="56AEBD51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08A1BA80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7E558DD7" w14:textId="77777777" w:rsidTr="00F5294E">
        <w:tc>
          <w:tcPr>
            <w:tcW w:w="8755" w:type="dxa"/>
            <w:gridSpan w:val="7"/>
          </w:tcPr>
          <w:p w14:paraId="237FFAB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REQUIRED:</w:t>
            </w:r>
          </w:p>
        </w:tc>
        <w:tc>
          <w:tcPr>
            <w:tcW w:w="709" w:type="dxa"/>
            <w:gridSpan w:val="2"/>
            <w:vAlign w:val="bottom"/>
          </w:tcPr>
          <w:p w14:paraId="7FC331AC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105377FD" w14:textId="77777777" w:rsidTr="00F5294E">
        <w:tc>
          <w:tcPr>
            <w:tcW w:w="8755" w:type="dxa"/>
            <w:gridSpan w:val="7"/>
          </w:tcPr>
          <w:p w14:paraId="332F62C6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3BED0E89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750C62BD" w14:textId="77777777" w:rsidTr="00F5294E">
        <w:tc>
          <w:tcPr>
            <w:tcW w:w="675" w:type="dxa"/>
          </w:tcPr>
          <w:p w14:paraId="6D2ECCB2" w14:textId="5ACA0323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1.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8080" w:type="dxa"/>
            <w:gridSpan w:val="6"/>
          </w:tcPr>
          <w:p w14:paraId="376FB3D0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Complete the note for Tangible (Fixed) Assets. </w:t>
            </w:r>
          </w:p>
          <w:p w14:paraId="535202C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NOTE: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Some figures have already been entered onto the ANSWER SHEETS.</w:t>
            </w:r>
          </w:p>
        </w:tc>
        <w:tc>
          <w:tcPr>
            <w:tcW w:w="709" w:type="dxa"/>
            <w:gridSpan w:val="2"/>
            <w:vAlign w:val="bottom"/>
          </w:tcPr>
          <w:p w14:paraId="0C42ADA6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D0BF3">
              <w:rPr>
                <w:rFonts w:ascii="Arial" w:eastAsia="Calibri" w:hAnsi="Arial" w:cs="Arial"/>
                <w:sz w:val="24"/>
                <w:szCs w:val="24"/>
                <w:lang w:val="af-ZA"/>
              </w:rPr>
              <w:t>(23)</w:t>
            </w:r>
          </w:p>
        </w:tc>
      </w:tr>
      <w:tr w:rsidR="00BD0BF3" w:rsidRPr="00BD0BF3" w14:paraId="740FBA67" w14:textId="77777777" w:rsidTr="00F5294E">
        <w:tc>
          <w:tcPr>
            <w:tcW w:w="675" w:type="dxa"/>
          </w:tcPr>
          <w:p w14:paraId="7734D7A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</w:tcPr>
          <w:p w14:paraId="4142308E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34DA06A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6385219" w14:textId="77777777" w:rsidTr="00F5294E">
        <w:tc>
          <w:tcPr>
            <w:tcW w:w="675" w:type="dxa"/>
          </w:tcPr>
          <w:p w14:paraId="1A6EEE97" w14:textId="4E95F88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1.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8080" w:type="dxa"/>
            <w:gridSpan w:val="6"/>
          </w:tcPr>
          <w:p w14:paraId="2CC3E35C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Prepare the Retained Income Note.</w:t>
            </w:r>
          </w:p>
        </w:tc>
        <w:tc>
          <w:tcPr>
            <w:tcW w:w="709" w:type="dxa"/>
            <w:gridSpan w:val="2"/>
            <w:vAlign w:val="bottom"/>
          </w:tcPr>
          <w:p w14:paraId="71F6055A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D0BF3">
              <w:rPr>
                <w:rFonts w:ascii="Arial" w:eastAsia="Calibri" w:hAnsi="Arial" w:cs="Arial"/>
                <w:sz w:val="24"/>
                <w:szCs w:val="24"/>
                <w:lang w:val="af-ZA"/>
              </w:rPr>
              <w:t>(12)</w:t>
            </w:r>
          </w:p>
        </w:tc>
      </w:tr>
      <w:tr w:rsidR="00BD0BF3" w:rsidRPr="00BD0BF3" w14:paraId="11DEDE57" w14:textId="77777777" w:rsidTr="00F5294E">
        <w:tc>
          <w:tcPr>
            <w:tcW w:w="675" w:type="dxa"/>
          </w:tcPr>
          <w:p w14:paraId="39B23B0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</w:tcPr>
          <w:p w14:paraId="05908E36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15AC6657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6785C3BF" w14:textId="77777777" w:rsidTr="00F5294E">
        <w:tc>
          <w:tcPr>
            <w:tcW w:w="675" w:type="dxa"/>
          </w:tcPr>
          <w:p w14:paraId="2E047511" w14:textId="531F6A7B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1.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8080" w:type="dxa"/>
            <w:gridSpan w:val="6"/>
          </w:tcPr>
          <w:p w14:paraId="7C0BCF42" w14:textId="2737950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Take into account the additional adjustments and prepare the Balance Sheet on 30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</w:tc>
        <w:tc>
          <w:tcPr>
            <w:tcW w:w="709" w:type="dxa"/>
            <w:gridSpan w:val="2"/>
            <w:vAlign w:val="bottom"/>
          </w:tcPr>
          <w:p w14:paraId="6C1B1F1E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BD0BF3">
              <w:rPr>
                <w:rFonts w:ascii="Arial" w:eastAsia="Calibri" w:hAnsi="Arial" w:cs="Arial"/>
                <w:sz w:val="24"/>
                <w:szCs w:val="24"/>
                <w:lang w:val="af-ZA"/>
              </w:rPr>
              <w:t>(40)</w:t>
            </w:r>
          </w:p>
        </w:tc>
      </w:tr>
      <w:tr w:rsidR="00BD0BF3" w:rsidRPr="00BD0BF3" w14:paraId="4AFF0E3F" w14:textId="77777777" w:rsidTr="00F5294E">
        <w:tc>
          <w:tcPr>
            <w:tcW w:w="675" w:type="dxa"/>
          </w:tcPr>
          <w:p w14:paraId="11B36E5A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</w:tcPr>
          <w:p w14:paraId="2B9D1EC1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45B1A476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69053340" w14:textId="77777777" w:rsidTr="00F5294E">
        <w:tc>
          <w:tcPr>
            <w:tcW w:w="675" w:type="dxa"/>
          </w:tcPr>
          <w:p w14:paraId="35D25663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</w:tcPr>
          <w:p w14:paraId="6148E316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INFORMATION:</w:t>
            </w:r>
          </w:p>
        </w:tc>
        <w:tc>
          <w:tcPr>
            <w:tcW w:w="709" w:type="dxa"/>
            <w:gridSpan w:val="2"/>
            <w:vAlign w:val="bottom"/>
          </w:tcPr>
          <w:p w14:paraId="443CBC00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60984B46" w14:textId="77777777" w:rsidTr="00F5294E">
        <w:tc>
          <w:tcPr>
            <w:tcW w:w="675" w:type="dxa"/>
          </w:tcPr>
          <w:p w14:paraId="078C03A2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</w:tcPr>
          <w:p w14:paraId="2174081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7B680517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128146DC" w14:textId="77777777" w:rsidTr="00F5294E">
        <w:tc>
          <w:tcPr>
            <w:tcW w:w="675" w:type="dxa"/>
          </w:tcPr>
          <w:p w14:paraId="4D8CA973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</w:tcPr>
          <w:p w14:paraId="284D85A2" w14:textId="79707722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The following figures were taken from the financial records for the financial year ended 30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</w:tc>
        <w:tc>
          <w:tcPr>
            <w:tcW w:w="709" w:type="dxa"/>
            <w:gridSpan w:val="2"/>
            <w:vAlign w:val="bottom"/>
          </w:tcPr>
          <w:p w14:paraId="410C5E0F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5804B874" w14:textId="77777777" w:rsidTr="00F5294E">
        <w:tc>
          <w:tcPr>
            <w:tcW w:w="675" w:type="dxa"/>
          </w:tcPr>
          <w:p w14:paraId="04881E7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  <w:tcBorders>
              <w:bottom w:val="single" w:sz="18" w:space="0" w:color="auto"/>
            </w:tcBorders>
          </w:tcPr>
          <w:p w14:paraId="7506A6EE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1B3EEC87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C9A1ABC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482529E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54C68FF6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2662" w:type="dxa"/>
            <w:gridSpan w:val="2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608DBDE9" w14:textId="77777777" w:rsidR="00BD0BF3" w:rsidRPr="00BD0BF3" w:rsidRDefault="00BD0BF3" w:rsidP="00BD0BF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R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38BB82EA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31B02588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0F005BF7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D4D904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Ordinary share capital (see Information </w:t>
            </w: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A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963077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2 400 000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4FCE200B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2C9A7303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4D9C9C96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C2FF997" w14:textId="670A90B9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Retained income (1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2018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786DA31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752 000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7B6D5673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7DA896D0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3C3B100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E2E9DC" w14:textId="089310E1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Fixed deposit at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EC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Bank (see Information </w:t>
            </w: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E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C32666D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60 000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149044B5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34797792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47AE9935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038529C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Fixed/tangible assets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C5E1AB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3 881 000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516F4366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6199DFE8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32ECFBE0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8878010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Debtors’ Control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148CECA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44 500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3131E138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4EAE193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672FBAD2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1EE794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Creditors’ Control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A6D1B7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25 200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3BC80EC1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E1E5FE2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41DC879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4B6940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Creditors for salaries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11A693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12 300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6C302593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574C08BE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3E510EBC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6AF0D86" w14:textId="268043C3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Provision for bad debts (1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2018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A6B59B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1 500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4A91D2AD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1850F3DD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1AF84F52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307BEA7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SARS (Income tax – provisional tax payments)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29D98C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400 000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2F8B9146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387A0C07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74A8190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FD641FE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SARS (PAYE)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AE9CB2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6 650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0ABE100A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212A7FCC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3D2C2B74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28BE2D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Bank (favourable balance)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B8A7347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182 450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79753977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73C15C6B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7675686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134546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Trading stock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9794DE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1 133 360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1536D621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48C5DCF8" w14:textId="77777777" w:rsidTr="00F5294E">
        <w:tc>
          <w:tcPr>
            <w:tcW w:w="675" w:type="dxa"/>
            <w:tcBorders>
              <w:right w:val="single" w:sz="18" w:space="0" w:color="auto"/>
            </w:tcBorders>
          </w:tcPr>
          <w:p w14:paraId="5C036A0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089E97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Asset disposal (see Information </w:t>
            </w: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B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below)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7B8B1DE" w14:textId="77777777" w:rsidR="00BD0BF3" w:rsidRPr="00BD0BF3" w:rsidRDefault="00BD0BF3" w:rsidP="00BD0BF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24 000 (</w:t>
            </w:r>
            <w:proofErr w:type="spellStart"/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cr</w:t>
            </w:r>
            <w:proofErr w:type="spellEnd"/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vAlign w:val="bottom"/>
          </w:tcPr>
          <w:p w14:paraId="538C4F2A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3A427918" w14:textId="77777777" w:rsidTr="00F5294E">
        <w:tc>
          <w:tcPr>
            <w:tcW w:w="675" w:type="dxa"/>
          </w:tcPr>
          <w:p w14:paraId="69BAE05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  <w:tcBorders>
              <w:top w:val="single" w:sz="18" w:space="0" w:color="auto"/>
            </w:tcBorders>
          </w:tcPr>
          <w:p w14:paraId="413D9065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71D95944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78141D14" w14:textId="77777777" w:rsidTr="00BD0BF3">
        <w:tc>
          <w:tcPr>
            <w:tcW w:w="675" w:type="dxa"/>
            <w:shd w:val="clear" w:color="auto" w:fill="FFFFFF"/>
          </w:tcPr>
          <w:p w14:paraId="232C5D12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  <w:shd w:val="clear" w:color="auto" w:fill="FFFFFF"/>
          </w:tcPr>
          <w:p w14:paraId="77FB3CB9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Additional information:</w:t>
            </w:r>
          </w:p>
        </w:tc>
        <w:tc>
          <w:tcPr>
            <w:tcW w:w="709" w:type="dxa"/>
            <w:gridSpan w:val="2"/>
            <w:vAlign w:val="bottom"/>
          </w:tcPr>
          <w:p w14:paraId="7C558674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AAACD5E" w14:textId="77777777" w:rsidTr="00BD0BF3">
        <w:tc>
          <w:tcPr>
            <w:tcW w:w="675" w:type="dxa"/>
            <w:shd w:val="clear" w:color="auto" w:fill="FFFFFF"/>
          </w:tcPr>
          <w:p w14:paraId="36AC7BBB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080" w:type="dxa"/>
            <w:gridSpan w:val="6"/>
            <w:shd w:val="clear" w:color="auto" w:fill="FFFFFF"/>
          </w:tcPr>
          <w:p w14:paraId="12138B54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12D4D98E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1B87ADA3" w14:textId="77777777" w:rsidTr="00BD0BF3">
        <w:tc>
          <w:tcPr>
            <w:tcW w:w="675" w:type="dxa"/>
            <w:shd w:val="clear" w:color="auto" w:fill="FFFFFF"/>
          </w:tcPr>
          <w:p w14:paraId="55954C24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B96D55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A.</w:t>
            </w:r>
          </w:p>
        </w:tc>
        <w:tc>
          <w:tcPr>
            <w:tcW w:w="7513" w:type="dxa"/>
            <w:gridSpan w:val="3"/>
            <w:shd w:val="clear" w:color="auto" w:fill="FFFFFF"/>
          </w:tcPr>
          <w:p w14:paraId="4484849D" w14:textId="77777777" w:rsidR="00BD0BF3" w:rsidRPr="00BD0BF3" w:rsidRDefault="00BD0BF3" w:rsidP="00BD0BF3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Shares:</w:t>
            </w:r>
          </w:p>
          <w:p w14:paraId="2AE0527A" w14:textId="77777777" w:rsidR="00BD0BF3" w:rsidRPr="00BD0BF3" w:rsidRDefault="00BD0BF3" w:rsidP="00BD0BF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42" w:hanging="342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There were 700 000 ordinary shares issued at the beginning of the financial year.</w:t>
            </w:r>
          </w:p>
          <w:p w14:paraId="7AC8EB2F" w14:textId="49704BB7" w:rsidR="00BD0BF3" w:rsidRPr="00BD0BF3" w:rsidRDefault="00BD0BF3" w:rsidP="00BD0BF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42" w:hanging="342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On 1 January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, 100 000 ordinary shares were issued to the public at R3,80 cents per share. This has been correctly recorded and is included in the figures.</w:t>
            </w:r>
          </w:p>
          <w:p w14:paraId="08F35440" w14:textId="767DA56B" w:rsidR="00BD0BF3" w:rsidRPr="00BD0BF3" w:rsidRDefault="00BD0BF3" w:rsidP="00BD0BF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42" w:hanging="342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On 1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, 40 000 shares were repurchased from a shareholder at R4,50 per share. A direct transfer was put through from the Bank Account, but no entry has been made in the books.</w:t>
            </w:r>
          </w:p>
        </w:tc>
        <w:tc>
          <w:tcPr>
            <w:tcW w:w="709" w:type="dxa"/>
            <w:gridSpan w:val="2"/>
            <w:vAlign w:val="bottom"/>
          </w:tcPr>
          <w:p w14:paraId="79F3DD8F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4CDB4770" w14:textId="77777777" w:rsidTr="00F5294E">
        <w:tc>
          <w:tcPr>
            <w:tcW w:w="709" w:type="dxa"/>
            <w:gridSpan w:val="2"/>
          </w:tcPr>
          <w:p w14:paraId="59C59D61" w14:textId="06C0E63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Calibri" w:eastAsia="Calibri" w:hAnsi="Calibri" w:cs="Times New Roman"/>
                <w:lang w:val="en-SG"/>
              </w:rPr>
              <w:br w:type="page"/>
            </w:r>
          </w:p>
        </w:tc>
        <w:tc>
          <w:tcPr>
            <w:tcW w:w="497" w:type="dxa"/>
          </w:tcPr>
          <w:p w14:paraId="0D337D9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B.</w:t>
            </w:r>
          </w:p>
        </w:tc>
        <w:tc>
          <w:tcPr>
            <w:tcW w:w="7583" w:type="dxa"/>
            <w:gridSpan w:val="5"/>
          </w:tcPr>
          <w:p w14:paraId="0B66AEAE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  <w:t>Adjustments:</w:t>
            </w:r>
          </w:p>
        </w:tc>
        <w:tc>
          <w:tcPr>
            <w:tcW w:w="675" w:type="dxa"/>
            <w:vAlign w:val="bottom"/>
          </w:tcPr>
          <w:p w14:paraId="7D47F6FD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6FB2586E" w14:textId="77777777" w:rsidTr="00F5294E">
        <w:tc>
          <w:tcPr>
            <w:tcW w:w="709" w:type="dxa"/>
            <w:gridSpan w:val="2"/>
          </w:tcPr>
          <w:p w14:paraId="13507386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497" w:type="dxa"/>
          </w:tcPr>
          <w:p w14:paraId="106C9B5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31914E20" w14:textId="77777777" w:rsidR="00BD0BF3" w:rsidRPr="00BD0BF3" w:rsidRDefault="00BD0BF3" w:rsidP="00BD0BF3">
            <w:pPr>
              <w:spacing w:after="0" w:line="240" w:lineRule="auto"/>
              <w:ind w:left="423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675" w:type="dxa"/>
            <w:vAlign w:val="bottom"/>
          </w:tcPr>
          <w:p w14:paraId="2E6EE776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10"/>
                <w:szCs w:val="10"/>
                <w:lang w:val="af-ZA"/>
              </w:rPr>
            </w:pPr>
          </w:p>
        </w:tc>
      </w:tr>
      <w:tr w:rsidR="00BD0BF3" w:rsidRPr="00BD0BF3" w14:paraId="01C17E09" w14:textId="77777777" w:rsidTr="00F5294E">
        <w:tc>
          <w:tcPr>
            <w:tcW w:w="709" w:type="dxa"/>
            <w:gridSpan w:val="2"/>
          </w:tcPr>
          <w:p w14:paraId="27F76781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594A76E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18C19C13" w14:textId="77777777" w:rsidR="00BD0BF3" w:rsidRPr="00BD0BF3" w:rsidRDefault="00BD0BF3" w:rsidP="00BD0BF3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 debtor with a credit balance of R500 must be transferred to the Creditors’ Ledger. Provision for bad debts must be adjusted to 3% of debtors.</w:t>
            </w:r>
          </w:p>
        </w:tc>
        <w:tc>
          <w:tcPr>
            <w:tcW w:w="675" w:type="dxa"/>
            <w:vAlign w:val="bottom"/>
          </w:tcPr>
          <w:p w14:paraId="568D31EF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479032C2" w14:textId="77777777" w:rsidTr="00F5294E">
        <w:tc>
          <w:tcPr>
            <w:tcW w:w="709" w:type="dxa"/>
            <w:gridSpan w:val="2"/>
          </w:tcPr>
          <w:p w14:paraId="770CDB6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434B2C0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35E61A3C" w14:textId="28D14F04" w:rsidR="00BD0BF3" w:rsidRPr="00BD0BF3" w:rsidRDefault="00BD0BF3" w:rsidP="00BD0BF3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Rent has been received for 14 months, R137 640. The rent increased by R930 on 1 January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</w:tc>
        <w:tc>
          <w:tcPr>
            <w:tcW w:w="675" w:type="dxa"/>
            <w:vAlign w:val="bottom"/>
          </w:tcPr>
          <w:p w14:paraId="57894105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22DECFB3" w14:textId="77777777" w:rsidTr="00F5294E">
        <w:tc>
          <w:tcPr>
            <w:tcW w:w="709" w:type="dxa"/>
            <w:gridSpan w:val="2"/>
          </w:tcPr>
          <w:p w14:paraId="01F8236F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2773FC7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27A94257" w14:textId="77777777" w:rsidR="00BD0BF3" w:rsidRPr="00BD0BF3" w:rsidRDefault="00BD0BF3" w:rsidP="00BD0BF3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Prepaid expenses in respect of R7 050 for sundry expenses have not been brought into account.</w:t>
            </w:r>
          </w:p>
        </w:tc>
        <w:tc>
          <w:tcPr>
            <w:tcW w:w="675" w:type="dxa"/>
            <w:vAlign w:val="bottom"/>
          </w:tcPr>
          <w:p w14:paraId="2362DDAC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49DF88EB" w14:textId="77777777" w:rsidTr="00F5294E">
        <w:tc>
          <w:tcPr>
            <w:tcW w:w="709" w:type="dxa"/>
            <w:gridSpan w:val="2"/>
          </w:tcPr>
          <w:p w14:paraId="58D2D30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2AF78F70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76467CDF" w14:textId="6F66E311" w:rsidR="00BD0BF3" w:rsidRPr="00BD0BF3" w:rsidRDefault="00BD0BF3" w:rsidP="00BD0BF3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There were two directors at the start of the accounting period. Directors’ fees of R900 000 have been paid for the first half of the accounting period. On 1 May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a third director was appointed. All three directors earn the same monthly fee. Provide for the outstanding fees owed to the directors.</w:t>
            </w:r>
          </w:p>
        </w:tc>
        <w:tc>
          <w:tcPr>
            <w:tcW w:w="675" w:type="dxa"/>
            <w:vAlign w:val="bottom"/>
          </w:tcPr>
          <w:p w14:paraId="09317844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9A021B0" w14:textId="77777777" w:rsidTr="00F5294E">
        <w:tc>
          <w:tcPr>
            <w:tcW w:w="709" w:type="dxa"/>
            <w:gridSpan w:val="2"/>
          </w:tcPr>
          <w:p w14:paraId="1F946C66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1C0F546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1325DAF9" w14:textId="070E32CB" w:rsidR="00BD0BF3" w:rsidRPr="00BD0BF3" w:rsidRDefault="00BD0BF3" w:rsidP="00BD0BF3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 physical stock count on 30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reflected the stock on hand as R1 138 960.</w:t>
            </w:r>
          </w:p>
        </w:tc>
        <w:tc>
          <w:tcPr>
            <w:tcW w:w="675" w:type="dxa"/>
            <w:vAlign w:val="bottom"/>
          </w:tcPr>
          <w:p w14:paraId="2E4E36FC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225AD003" w14:textId="77777777" w:rsidTr="00F5294E">
        <w:tc>
          <w:tcPr>
            <w:tcW w:w="709" w:type="dxa"/>
            <w:gridSpan w:val="2"/>
          </w:tcPr>
          <w:p w14:paraId="5F3922FE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2E00641C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600D46FC" w14:textId="77777777" w:rsidR="00BD0BF3" w:rsidRPr="00BD0BF3" w:rsidRDefault="00BD0BF3" w:rsidP="00BD0BF3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Depreciation on vehicles is calculated at 20% p.a. on the diminishing-balance method. A new vehicle was purchased on </w:t>
            </w:r>
          </w:p>
          <w:p w14:paraId="78690FF4" w14:textId="319A1634" w:rsidR="00BD0BF3" w:rsidRPr="00BD0BF3" w:rsidRDefault="00BD0BF3" w:rsidP="00BD0BF3">
            <w:pPr>
              <w:spacing w:after="0" w:line="240" w:lineRule="auto"/>
              <w:ind w:left="354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1 May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for R300 000. This has been properly recorded.</w:t>
            </w:r>
          </w:p>
        </w:tc>
        <w:tc>
          <w:tcPr>
            <w:tcW w:w="675" w:type="dxa"/>
            <w:vAlign w:val="bottom"/>
          </w:tcPr>
          <w:p w14:paraId="7195FEBF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6354F81C" w14:textId="77777777" w:rsidTr="00F5294E">
        <w:tc>
          <w:tcPr>
            <w:tcW w:w="709" w:type="dxa"/>
            <w:gridSpan w:val="2"/>
          </w:tcPr>
          <w:p w14:paraId="10EAC8DA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1A280ACB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0D32DF0C" w14:textId="1C1AC112" w:rsidR="00BD0BF3" w:rsidRPr="00BD0BF3" w:rsidRDefault="00BD0BF3" w:rsidP="00BD0BF3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Depreciation on equipment is calculated at 10% p.a. on the cost price. Note that equipment with cost price R44 000 was taken over by one of the directors on 30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for personal use for R24 000 cash (This has been recorded in the Bank and Asset Disposal Account, no other entries has been made). Accumulated depreciation on 1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2018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was R11 000.</w:t>
            </w:r>
          </w:p>
        </w:tc>
        <w:tc>
          <w:tcPr>
            <w:tcW w:w="675" w:type="dxa"/>
            <w:vAlign w:val="bottom"/>
          </w:tcPr>
          <w:p w14:paraId="73A385E8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F3A4CD9" w14:textId="77777777" w:rsidTr="00F5294E">
        <w:tc>
          <w:tcPr>
            <w:tcW w:w="709" w:type="dxa"/>
            <w:gridSpan w:val="2"/>
          </w:tcPr>
          <w:p w14:paraId="4DBF3A7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3C33B1F7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263F216E" w14:textId="77777777" w:rsidR="00BD0BF3" w:rsidRPr="00BD0BF3" w:rsidRDefault="00BD0BF3" w:rsidP="00BD0BF3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Total income tax for the year amounted to R375 000. </w:t>
            </w:r>
            <w:r w:rsidRPr="00BD0BF3">
              <w:rPr>
                <w:rFonts w:ascii="Arial" w:eastAsia="Times New Roman" w:hAnsi="Arial" w:cs="Arial"/>
                <w:b/>
                <w:sz w:val="24"/>
                <w:szCs w:val="24"/>
                <w:lang w:val="en-ZA" w:eastAsia="en-ZA"/>
              </w:rPr>
              <w:t>It is 30% of the net profit before tax.</w:t>
            </w:r>
          </w:p>
        </w:tc>
        <w:tc>
          <w:tcPr>
            <w:tcW w:w="675" w:type="dxa"/>
            <w:vAlign w:val="bottom"/>
          </w:tcPr>
          <w:p w14:paraId="5EF2447D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60C950C3" w14:textId="77777777" w:rsidTr="00F5294E">
        <w:tc>
          <w:tcPr>
            <w:tcW w:w="709" w:type="dxa"/>
            <w:gridSpan w:val="2"/>
          </w:tcPr>
          <w:p w14:paraId="4AA2E7B7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497" w:type="dxa"/>
          </w:tcPr>
          <w:p w14:paraId="66A02AE0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2999B396" w14:textId="77777777" w:rsidR="00BD0BF3" w:rsidRPr="00BD0BF3" w:rsidRDefault="00BD0BF3" w:rsidP="00BD0BF3">
            <w:pPr>
              <w:spacing w:after="0" w:line="240" w:lineRule="auto"/>
              <w:ind w:left="342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675" w:type="dxa"/>
            <w:vAlign w:val="bottom"/>
          </w:tcPr>
          <w:p w14:paraId="088B3DAA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10"/>
                <w:szCs w:val="10"/>
                <w:lang w:val="af-ZA"/>
              </w:rPr>
            </w:pPr>
          </w:p>
        </w:tc>
      </w:tr>
      <w:tr w:rsidR="00BD0BF3" w:rsidRPr="00BD0BF3" w14:paraId="0CC97002" w14:textId="77777777" w:rsidTr="00F5294E">
        <w:tc>
          <w:tcPr>
            <w:tcW w:w="709" w:type="dxa"/>
            <w:gridSpan w:val="2"/>
          </w:tcPr>
          <w:p w14:paraId="262C36E9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09435BF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C.</w:t>
            </w:r>
          </w:p>
        </w:tc>
        <w:tc>
          <w:tcPr>
            <w:tcW w:w="7583" w:type="dxa"/>
            <w:gridSpan w:val="5"/>
          </w:tcPr>
          <w:p w14:paraId="782BEBF8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  <w:t>Land and building:</w:t>
            </w:r>
          </w:p>
          <w:p w14:paraId="48086FBF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Land was purchased for R1 500 000 for future expansion.</w:t>
            </w:r>
          </w:p>
          <w:p w14:paraId="06B3C689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An amount was also paid to Langley Construction for:</w:t>
            </w:r>
          </w:p>
          <w:p w14:paraId="39D42892" w14:textId="77777777" w:rsidR="00BD0BF3" w:rsidRPr="00BD0BF3" w:rsidRDefault="00BD0BF3" w:rsidP="00BD0B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Extension to the existing factory area, R683 000.</w:t>
            </w:r>
          </w:p>
          <w:p w14:paraId="1B2548BA" w14:textId="77777777" w:rsidR="00BD0BF3" w:rsidRPr="00BD0BF3" w:rsidRDefault="00BD0BF3" w:rsidP="00BD0B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Tiling of the office block, R129 000.</w:t>
            </w:r>
          </w:p>
        </w:tc>
        <w:tc>
          <w:tcPr>
            <w:tcW w:w="675" w:type="dxa"/>
            <w:vAlign w:val="bottom"/>
          </w:tcPr>
          <w:p w14:paraId="0063B954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22843303" w14:textId="77777777" w:rsidTr="00F5294E">
        <w:tc>
          <w:tcPr>
            <w:tcW w:w="709" w:type="dxa"/>
            <w:gridSpan w:val="2"/>
          </w:tcPr>
          <w:p w14:paraId="26DAC1D0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497" w:type="dxa"/>
          </w:tcPr>
          <w:p w14:paraId="314A1C8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03360935" w14:textId="77777777" w:rsidR="00BD0BF3" w:rsidRPr="00BD0BF3" w:rsidRDefault="00BD0BF3" w:rsidP="00BD0BF3">
            <w:pPr>
              <w:spacing w:after="0" w:line="240" w:lineRule="auto"/>
              <w:ind w:left="342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675" w:type="dxa"/>
            <w:vAlign w:val="bottom"/>
          </w:tcPr>
          <w:p w14:paraId="4B0BE605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10"/>
                <w:szCs w:val="10"/>
                <w:lang w:val="af-ZA"/>
              </w:rPr>
            </w:pPr>
          </w:p>
        </w:tc>
      </w:tr>
      <w:tr w:rsidR="00BD0BF3" w:rsidRPr="00BD0BF3" w14:paraId="7E3614C3" w14:textId="77777777" w:rsidTr="00F5294E">
        <w:tc>
          <w:tcPr>
            <w:tcW w:w="709" w:type="dxa"/>
            <w:gridSpan w:val="2"/>
          </w:tcPr>
          <w:p w14:paraId="44A5BD13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25536A94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D.</w:t>
            </w:r>
          </w:p>
        </w:tc>
        <w:tc>
          <w:tcPr>
            <w:tcW w:w="7583" w:type="dxa"/>
            <w:gridSpan w:val="5"/>
          </w:tcPr>
          <w:p w14:paraId="0C2C8018" w14:textId="77777777" w:rsidR="00BD0BF3" w:rsidRPr="00BD0BF3" w:rsidRDefault="00BD0BF3" w:rsidP="00BD0BF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  <w:t>Dividends:</w:t>
            </w:r>
          </w:p>
          <w:p w14:paraId="223AC168" w14:textId="77777777" w:rsidR="00BD0BF3" w:rsidRPr="00BD0BF3" w:rsidRDefault="00BD0BF3" w:rsidP="00BD0B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An interim dividend of 20 cents per share were paid on </w:t>
            </w:r>
          </w:p>
          <w:p w14:paraId="431A7E75" w14:textId="014A8A79" w:rsidR="00BD0BF3" w:rsidRPr="00BD0BF3" w:rsidRDefault="00BD0BF3" w:rsidP="00BD0B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31 December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2018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. All shareholders at this date qualify for dividends.</w:t>
            </w:r>
          </w:p>
          <w:p w14:paraId="6A7239E0" w14:textId="77777777" w:rsidR="00BD0BF3" w:rsidRPr="00BD0BF3" w:rsidRDefault="00BD0BF3" w:rsidP="00BD0B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 final dividend of 35 cents per share were declared on </w:t>
            </w:r>
          </w:p>
          <w:p w14:paraId="3B232B61" w14:textId="0BA966B6" w:rsidR="00BD0BF3" w:rsidRPr="00BD0BF3" w:rsidRDefault="00BD0BF3" w:rsidP="00BD0B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30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. All shareholders qualify for the final dividend, including those whose shares were repurchased.</w:t>
            </w:r>
          </w:p>
        </w:tc>
        <w:tc>
          <w:tcPr>
            <w:tcW w:w="675" w:type="dxa"/>
            <w:vAlign w:val="bottom"/>
          </w:tcPr>
          <w:p w14:paraId="4F43FC62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16F52A8E" w14:textId="77777777" w:rsidTr="00F5294E">
        <w:tc>
          <w:tcPr>
            <w:tcW w:w="709" w:type="dxa"/>
            <w:gridSpan w:val="2"/>
          </w:tcPr>
          <w:p w14:paraId="7BC782E2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497" w:type="dxa"/>
          </w:tcPr>
          <w:p w14:paraId="2FF516A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6872FCED" w14:textId="77777777" w:rsidR="00BD0BF3" w:rsidRPr="00BD0BF3" w:rsidRDefault="00BD0BF3" w:rsidP="00BD0BF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SG" w:eastAsia="en-ZA"/>
              </w:rPr>
            </w:pPr>
          </w:p>
        </w:tc>
        <w:tc>
          <w:tcPr>
            <w:tcW w:w="675" w:type="dxa"/>
            <w:vAlign w:val="bottom"/>
          </w:tcPr>
          <w:p w14:paraId="1E5DFE65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10"/>
                <w:szCs w:val="10"/>
                <w:lang w:val="af-ZA"/>
              </w:rPr>
            </w:pPr>
          </w:p>
        </w:tc>
      </w:tr>
      <w:tr w:rsidR="00BD0BF3" w:rsidRPr="00BD0BF3" w14:paraId="468FB5F9" w14:textId="77777777" w:rsidTr="00F5294E">
        <w:tc>
          <w:tcPr>
            <w:tcW w:w="709" w:type="dxa"/>
            <w:gridSpan w:val="2"/>
          </w:tcPr>
          <w:p w14:paraId="566E5676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61F7D4A4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E.</w:t>
            </w:r>
          </w:p>
        </w:tc>
        <w:tc>
          <w:tcPr>
            <w:tcW w:w="7583" w:type="dxa"/>
            <w:gridSpan w:val="5"/>
          </w:tcPr>
          <w:p w14:paraId="7BA5875E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  <w:t>Fixed deposits:</w:t>
            </w:r>
          </w:p>
          <w:p w14:paraId="184721A7" w14:textId="3B2A55AA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 xml:space="preserve">One third of the total fixed deposits mature on 31 August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2019</w:t>
            </w: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.</w:t>
            </w:r>
          </w:p>
        </w:tc>
        <w:tc>
          <w:tcPr>
            <w:tcW w:w="675" w:type="dxa"/>
            <w:vAlign w:val="bottom"/>
          </w:tcPr>
          <w:p w14:paraId="7BE2CAEC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16A8B23F" w14:textId="77777777" w:rsidTr="00F5294E">
        <w:tc>
          <w:tcPr>
            <w:tcW w:w="709" w:type="dxa"/>
            <w:gridSpan w:val="2"/>
          </w:tcPr>
          <w:p w14:paraId="1244DD36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497" w:type="dxa"/>
          </w:tcPr>
          <w:p w14:paraId="76E72C97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7583" w:type="dxa"/>
            <w:gridSpan w:val="5"/>
          </w:tcPr>
          <w:p w14:paraId="1DA6A41A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SG" w:eastAsia="en-ZA"/>
              </w:rPr>
            </w:pPr>
          </w:p>
        </w:tc>
        <w:tc>
          <w:tcPr>
            <w:tcW w:w="675" w:type="dxa"/>
            <w:vAlign w:val="bottom"/>
          </w:tcPr>
          <w:p w14:paraId="1CF24E0B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10"/>
                <w:szCs w:val="10"/>
                <w:lang w:val="af-ZA"/>
              </w:rPr>
            </w:pPr>
          </w:p>
        </w:tc>
      </w:tr>
      <w:tr w:rsidR="00BD0BF3" w:rsidRPr="00BD0BF3" w14:paraId="2C68EF90" w14:textId="77777777" w:rsidTr="00F5294E">
        <w:tc>
          <w:tcPr>
            <w:tcW w:w="709" w:type="dxa"/>
            <w:gridSpan w:val="2"/>
          </w:tcPr>
          <w:p w14:paraId="60CAE1D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6246F5D5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 xml:space="preserve">F. </w:t>
            </w:r>
          </w:p>
        </w:tc>
        <w:tc>
          <w:tcPr>
            <w:tcW w:w="7583" w:type="dxa"/>
            <w:gridSpan w:val="5"/>
          </w:tcPr>
          <w:p w14:paraId="5751C877" w14:textId="495C97DF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  <w:t xml:space="preserve">Loan statement on 30 June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  <w:t>2019</w:t>
            </w: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  <w:t>:</w:t>
            </w:r>
          </w:p>
        </w:tc>
        <w:tc>
          <w:tcPr>
            <w:tcW w:w="675" w:type="dxa"/>
            <w:vAlign w:val="bottom"/>
          </w:tcPr>
          <w:p w14:paraId="77846022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2647D310" w14:textId="77777777" w:rsidTr="00F5294E">
        <w:tc>
          <w:tcPr>
            <w:tcW w:w="709" w:type="dxa"/>
            <w:gridSpan w:val="2"/>
          </w:tcPr>
          <w:p w14:paraId="50BB40DA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</w:tcPr>
          <w:p w14:paraId="3AB3C75C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58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F3D7EF" w14:textId="2031FB17" w:rsidR="00BD0BF3" w:rsidRPr="00BD0BF3" w:rsidRDefault="00BD0BF3" w:rsidP="00BD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  <w:t>EC</w:t>
            </w:r>
            <w:r w:rsidRPr="00BD0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SG" w:eastAsia="en-ZA"/>
              </w:rPr>
              <w:t xml:space="preserve"> Bank</w:t>
            </w:r>
          </w:p>
        </w:tc>
        <w:tc>
          <w:tcPr>
            <w:tcW w:w="675" w:type="dxa"/>
            <w:tcBorders>
              <w:left w:val="single" w:sz="18" w:space="0" w:color="auto"/>
            </w:tcBorders>
            <w:vAlign w:val="bottom"/>
          </w:tcPr>
          <w:p w14:paraId="2EAFB88D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2BA3A4CF" w14:textId="77777777" w:rsidTr="00F5294E">
        <w:tc>
          <w:tcPr>
            <w:tcW w:w="709" w:type="dxa"/>
            <w:gridSpan w:val="2"/>
          </w:tcPr>
          <w:p w14:paraId="2C78DE7C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</w:tcPr>
          <w:p w14:paraId="33FC1470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66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8A8DAE9" w14:textId="091DDD19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 xml:space="preserve">Balance on 1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2018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E30EC3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384 000</w:t>
            </w:r>
          </w:p>
        </w:tc>
        <w:tc>
          <w:tcPr>
            <w:tcW w:w="675" w:type="dxa"/>
            <w:tcBorders>
              <w:left w:val="single" w:sz="18" w:space="0" w:color="auto"/>
            </w:tcBorders>
            <w:vAlign w:val="bottom"/>
          </w:tcPr>
          <w:p w14:paraId="11BA1AD2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13FEF2A3" w14:textId="77777777" w:rsidTr="00F5294E">
        <w:tc>
          <w:tcPr>
            <w:tcW w:w="709" w:type="dxa"/>
            <w:gridSpan w:val="2"/>
          </w:tcPr>
          <w:p w14:paraId="3FF66DB8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</w:tcPr>
          <w:p w14:paraId="6BDC017C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66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231E37C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Interest charged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F10C8C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57 600</w:t>
            </w:r>
          </w:p>
        </w:tc>
        <w:tc>
          <w:tcPr>
            <w:tcW w:w="675" w:type="dxa"/>
            <w:tcBorders>
              <w:left w:val="single" w:sz="18" w:space="0" w:color="auto"/>
            </w:tcBorders>
            <w:vAlign w:val="bottom"/>
          </w:tcPr>
          <w:p w14:paraId="007B447C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AE8C830" w14:textId="77777777" w:rsidTr="00F5294E">
        <w:tc>
          <w:tcPr>
            <w:tcW w:w="709" w:type="dxa"/>
            <w:gridSpan w:val="2"/>
          </w:tcPr>
          <w:p w14:paraId="36AF036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</w:tcPr>
          <w:p w14:paraId="73233204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66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842BBA4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Monthly instalments in terms of the loan agreement (12 x R8 800) (Instalments include interest).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325438B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105 600</w:t>
            </w:r>
          </w:p>
        </w:tc>
        <w:tc>
          <w:tcPr>
            <w:tcW w:w="675" w:type="dxa"/>
            <w:tcBorders>
              <w:left w:val="single" w:sz="18" w:space="0" w:color="auto"/>
            </w:tcBorders>
            <w:vAlign w:val="bottom"/>
          </w:tcPr>
          <w:p w14:paraId="679CF17A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C4006B6" w14:textId="77777777" w:rsidTr="00F5294E">
        <w:tc>
          <w:tcPr>
            <w:tcW w:w="709" w:type="dxa"/>
            <w:gridSpan w:val="2"/>
          </w:tcPr>
          <w:p w14:paraId="1F549E60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</w:tcPr>
          <w:p w14:paraId="0C4C808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66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DEC531F" w14:textId="7A555C6E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 xml:space="preserve">Balance on 30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2019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E3DCB6B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  <w:r w:rsidRPr="00BD0BF3"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  <w:t>336 000</w:t>
            </w:r>
          </w:p>
        </w:tc>
        <w:tc>
          <w:tcPr>
            <w:tcW w:w="675" w:type="dxa"/>
            <w:tcBorders>
              <w:left w:val="single" w:sz="18" w:space="0" w:color="auto"/>
            </w:tcBorders>
            <w:vAlign w:val="bottom"/>
          </w:tcPr>
          <w:p w14:paraId="43B184CA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D0BF3" w:rsidRPr="00BD0BF3" w14:paraId="0BC6DF19" w14:textId="77777777" w:rsidTr="00F5294E">
        <w:trPr>
          <w:trHeight w:val="114"/>
        </w:trPr>
        <w:tc>
          <w:tcPr>
            <w:tcW w:w="709" w:type="dxa"/>
            <w:gridSpan w:val="2"/>
          </w:tcPr>
          <w:p w14:paraId="0F4E38FB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497" w:type="dxa"/>
          </w:tcPr>
          <w:p w14:paraId="46ECA5E3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0"/>
                <w:szCs w:val="10"/>
                <w:lang w:val="en-ZA" w:eastAsia="en-ZA"/>
              </w:rPr>
            </w:pPr>
          </w:p>
        </w:tc>
        <w:tc>
          <w:tcPr>
            <w:tcW w:w="5669" w:type="dxa"/>
            <w:gridSpan w:val="3"/>
            <w:tcBorders>
              <w:top w:val="single" w:sz="18" w:space="0" w:color="auto"/>
            </w:tcBorders>
          </w:tcPr>
          <w:p w14:paraId="7FA4D1D9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SG" w:eastAsia="en-ZA"/>
              </w:rPr>
            </w:pPr>
          </w:p>
        </w:tc>
        <w:tc>
          <w:tcPr>
            <w:tcW w:w="1914" w:type="dxa"/>
            <w:gridSpan w:val="2"/>
            <w:tcBorders>
              <w:top w:val="single" w:sz="18" w:space="0" w:color="auto"/>
            </w:tcBorders>
          </w:tcPr>
          <w:p w14:paraId="7113709C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n-SG" w:eastAsia="en-ZA"/>
              </w:rPr>
            </w:pPr>
          </w:p>
        </w:tc>
        <w:tc>
          <w:tcPr>
            <w:tcW w:w="675" w:type="dxa"/>
            <w:tcBorders>
              <w:bottom w:val="single" w:sz="18" w:space="0" w:color="auto"/>
            </w:tcBorders>
            <w:vAlign w:val="bottom"/>
          </w:tcPr>
          <w:p w14:paraId="11D3F767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Calibri" w:hAnsi="Arial" w:cs="Arial"/>
                <w:sz w:val="10"/>
                <w:szCs w:val="10"/>
                <w:lang w:val="af-ZA"/>
              </w:rPr>
            </w:pPr>
          </w:p>
        </w:tc>
      </w:tr>
      <w:tr w:rsidR="00BD0BF3" w:rsidRPr="00BD0BF3" w14:paraId="5BCDC614" w14:textId="77777777" w:rsidTr="00F5294E">
        <w:tc>
          <w:tcPr>
            <w:tcW w:w="709" w:type="dxa"/>
            <w:gridSpan w:val="2"/>
          </w:tcPr>
          <w:p w14:paraId="676969CB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97" w:type="dxa"/>
          </w:tcPr>
          <w:p w14:paraId="520C74ED" w14:textId="77777777" w:rsidR="00BD0BF3" w:rsidRPr="00BD0BF3" w:rsidRDefault="00BD0BF3" w:rsidP="00BD0B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669" w:type="dxa"/>
            <w:gridSpan w:val="3"/>
          </w:tcPr>
          <w:p w14:paraId="42EE7C51" w14:textId="77777777" w:rsidR="00BD0BF3" w:rsidRPr="00BD0BF3" w:rsidRDefault="00BD0BF3" w:rsidP="00BD0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</w:p>
        </w:tc>
        <w:tc>
          <w:tcPr>
            <w:tcW w:w="1914" w:type="dxa"/>
            <w:gridSpan w:val="2"/>
            <w:tcBorders>
              <w:right w:val="single" w:sz="18" w:space="0" w:color="auto"/>
            </w:tcBorders>
          </w:tcPr>
          <w:p w14:paraId="52240F8F" w14:textId="77777777" w:rsidR="00BD0BF3" w:rsidRPr="00BD0BF3" w:rsidRDefault="00BD0BF3" w:rsidP="00BD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SG" w:eastAsia="en-Z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5BC83" w14:textId="77777777" w:rsidR="00BD0BF3" w:rsidRPr="00BD0BF3" w:rsidRDefault="00BD0BF3" w:rsidP="00BD0B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D0BF3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75</w:t>
            </w:r>
          </w:p>
        </w:tc>
      </w:tr>
    </w:tbl>
    <w:p w14:paraId="18D97738" w14:textId="77777777" w:rsidR="00BD0BF3" w:rsidRDefault="00BD0BF3"/>
    <w:sectPr w:rsidR="00BD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C75"/>
    <w:multiLevelType w:val="hybridMultilevel"/>
    <w:tmpl w:val="B206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39F0"/>
    <w:multiLevelType w:val="hybridMultilevel"/>
    <w:tmpl w:val="D670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47A2"/>
    <w:multiLevelType w:val="hybridMultilevel"/>
    <w:tmpl w:val="A3A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0213E"/>
    <w:multiLevelType w:val="hybridMultilevel"/>
    <w:tmpl w:val="F2D45A24"/>
    <w:lvl w:ilvl="0" w:tplc="1C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66CE4C59"/>
    <w:multiLevelType w:val="hybridMultilevel"/>
    <w:tmpl w:val="D6B6B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F3"/>
    <w:rsid w:val="008D4513"/>
    <w:rsid w:val="00BD0BF3"/>
    <w:rsid w:val="00B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CF9E"/>
  <w15:chartTrackingRefBased/>
  <w15:docId w15:val="{6EA35976-23A7-4C1D-BE58-F2A46EC6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2020-04-09T09:41:00Z</dcterms:created>
  <dcterms:modified xsi:type="dcterms:W3CDTF">2020-04-09T09:41:00Z</dcterms:modified>
</cp:coreProperties>
</file>