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7F33E"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D44AA92" wp14:editId="3E506401">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09AB539D" w14:textId="77777777" w:rsidR="007C0792" w:rsidRDefault="007C0792" w:rsidP="007C0792">
      <w:pPr>
        <w:pStyle w:val="NoSpacing"/>
        <w:ind w:left="360"/>
        <w:jc w:val="center"/>
        <w:rPr>
          <w:rFonts w:ascii="Arial" w:hAnsi="Arial" w:cs="Arial"/>
          <w:b/>
          <w:sz w:val="22"/>
          <w:szCs w:val="22"/>
        </w:rPr>
      </w:pPr>
    </w:p>
    <w:p w14:paraId="0CB36975"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368EAC24" w14:textId="77777777" w:rsidTr="00485491">
        <w:trPr>
          <w:trHeight w:val="306"/>
        </w:trPr>
        <w:tc>
          <w:tcPr>
            <w:tcW w:w="10643" w:type="dxa"/>
            <w:shd w:val="clear" w:color="auto" w:fill="D9D9D9"/>
          </w:tcPr>
          <w:p w14:paraId="59E1628D"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A6EB0A8"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2C388E6A" w14:textId="77777777" w:rsidTr="00485491">
        <w:trPr>
          <w:trHeight w:val="350"/>
        </w:trPr>
        <w:tc>
          <w:tcPr>
            <w:tcW w:w="3708" w:type="dxa"/>
          </w:tcPr>
          <w:p w14:paraId="237BCCC3"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5F6B235D"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A7E6409" w14:textId="77777777" w:rsidTr="00485491">
        <w:trPr>
          <w:trHeight w:val="350"/>
        </w:trPr>
        <w:tc>
          <w:tcPr>
            <w:tcW w:w="3708" w:type="dxa"/>
          </w:tcPr>
          <w:p w14:paraId="10BC3401"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1F23C662"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2FE3B44B" w14:textId="77777777" w:rsidTr="00485491">
        <w:trPr>
          <w:trHeight w:val="350"/>
        </w:trPr>
        <w:tc>
          <w:tcPr>
            <w:tcW w:w="3708" w:type="dxa"/>
          </w:tcPr>
          <w:p w14:paraId="1DD07D3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62609FEA" w14:textId="77777777" w:rsidR="00F9483B" w:rsidRPr="00212653" w:rsidRDefault="00BA5D5C"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A136B0">
              <w:rPr>
                <w:rFonts w:ascii="Arial" w:hAnsi="Arial" w:cs="Arial"/>
                <w:b/>
                <w:color w:val="000000"/>
                <w:sz w:val="28"/>
                <w:szCs w:val="28"/>
              </w:rPr>
              <w:t>CURRICULUM ENRICHMENT PROGRAMMES</w:t>
            </w:r>
          </w:p>
        </w:tc>
      </w:tr>
      <w:tr w:rsidR="00F9483B" w:rsidRPr="00612C60" w14:paraId="36EF1A47" w14:textId="77777777" w:rsidTr="00485491">
        <w:trPr>
          <w:trHeight w:val="350"/>
        </w:trPr>
        <w:tc>
          <w:tcPr>
            <w:tcW w:w="3708" w:type="dxa"/>
          </w:tcPr>
          <w:p w14:paraId="4D88646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047FD3DB"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D04DFB8" w14:textId="77777777" w:rsidTr="00485491">
        <w:trPr>
          <w:trHeight w:val="350"/>
        </w:trPr>
        <w:tc>
          <w:tcPr>
            <w:tcW w:w="3708" w:type="dxa"/>
          </w:tcPr>
          <w:p w14:paraId="0DCFE59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7BA7BCDA"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5B60A5A" w14:textId="77777777" w:rsidTr="00485491">
        <w:trPr>
          <w:trHeight w:val="713"/>
        </w:trPr>
        <w:tc>
          <w:tcPr>
            <w:tcW w:w="3708" w:type="dxa"/>
          </w:tcPr>
          <w:p w14:paraId="6F077EA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0D934476"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0F064AE1" w14:textId="77777777" w:rsidTr="00485491">
        <w:tc>
          <w:tcPr>
            <w:tcW w:w="3708" w:type="dxa"/>
          </w:tcPr>
          <w:p w14:paraId="13B8145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7F0E177"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B829E46" w14:textId="77777777" w:rsidTr="00485491">
        <w:tc>
          <w:tcPr>
            <w:tcW w:w="3708" w:type="dxa"/>
          </w:tcPr>
          <w:p w14:paraId="7F73598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73D7372" w14:textId="77777777" w:rsidR="00F9483B" w:rsidRPr="00485491" w:rsidRDefault="00A136B0" w:rsidP="00F9483B">
            <w:pPr>
              <w:rPr>
                <w:rFonts w:ascii="Arial" w:hAnsi="Arial" w:cs="Arial"/>
                <w:b/>
                <w:color w:val="000000"/>
                <w:sz w:val="28"/>
                <w:szCs w:val="28"/>
              </w:rPr>
            </w:pPr>
            <w:r>
              <w:rPr>
                <w:rFonts w:ascii="Arial" w:hAnsi="Arial" w:cs="Arial"/>
                <w:b/>
                <w:color w:val="000000"/>
                <w:sz w:val="28"/>
                <w:szCs w:val="28"/>
              </w:rPr>
              <w:t>EDUCATION SOCIAL SUPPORT SERVICES</w:t>
            </w:r>
          </w:p>
        </w:tc>
      </w:tr>
      <w:tr w:rsidR="00F9483B" w:rsidRPr="00612C60" w14:paraId="624C51FC" w14:textId="77777777" w:rsidTr="00485491">
        <w:trPr>
          <w:trHeight w:val="428"/>
        </w:trPr>
        <w:tc>
          <w:tcPr>
            <w:tcW w:w="3708" w:type="dxa"/>
          </w:tcPr>
          <w:p w14:paraId="3CFED6A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177E45E6"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7180732A" w14:textId="77777777" w:rsidTr="00485491">
        <w:trPr>
          <w:trHeight w:val="365"/>
        </w:trPr>
        <w:tc>
          <w:tcPr>
            <w:tcW w:w="3708" w:type="dxa"/>
          </w:tcPr>
          <w:p w14:paraId="24F20AB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7490C91E"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r w:rsidR="004D6600">
              <w:rPr>
                <w:rFonts w:ascii="Arial" w:hAnsi="Arial" w:cs="Arial"/>
                <w:b/>
                <w:color w:val="000000"/>
                <w:sz w:val="28"/>
                <w:szCs w:val="28"/>
              </w:rPr>
              <w:t>: CURRICULUM ENRICHMENT PROGRAMMES</w:t>
            </w:r>
          </w:p>
        </w:tc>
      </w:tr>
    </w:tbl>
    <w:p w14:paraId="67CF086B"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133C9C0C" w14:textId="77777777" w:rsidTr="00485491">
        <w:trPr>
          <w:trHeight w:val="263"/>
        </w:trPr>
        <w:tc>
          <w:tcPr>
            <w:tcW w:w="10598" w:type="dxa"/>
            <w:shd w:val="clear" w:color="auto" w:fill="D9D9D9"/>
          </w:tcPr>
          <w:p w14:paraId="0C82DBF2"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73B36A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5AB6FC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EC8627"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08E363FB"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167F578C"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E4E54A7"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12466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2314E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E528E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C5ED0B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9585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63FD2D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9890B0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979D65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21125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CA413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33D29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23AB6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73444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A0FBBB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A1972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A31738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62B297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E27F04"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2F8C8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2FDDBB"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379608B5" w14:textId="77777777" w:rsidTr="00485491">
        <w:trPr>
          <w:trHeight w:val="422"/>
        </w:trPr>
        <w:tc>
          <w:tcPr>
            <w:tcW w:w="10800" w:type="dxa"/>
            <w:shd w:val="clear" w:color="auto" w:fill="D9D9D9"/>
          </w:tcPr>
          <w:p w14:paraId="625A26F9"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45D5329A" w14:textId="77777777" w:rsidTr="0077644A">
        <w:trPr>
          <w:trHeight w:val="883"/>
        </w:trPr>
        <w:tc>
          <w:tcPr>
            <w:tcW w:w="10800" w:type="dxa"/>
            <w:shd w:val="clear" w:color="auto" w:fill="auto"/>
          </w:tcPr>
          <w:p w14:paraId="11D8D0F6" w14:textId="77777777" w:rsidR="003B72B9" w:rsidRPr="003B72B9" w:rsidRDefault="00A136B0" w:rsidP="00B10C72">
            <w:pPr>
              <w:spacing w:after="0" w:line="360" w:lineRule="auto"/>
              <w:rPr>
                <w:rFonts w:ascii="Arial" w:eastAsia="Times New Roman" w:hAnsi="Arial" w:cs="Arial"/>
                <w:b/>
                <w:sz w:val="24"/>
                <w:szCs w:val="24"/>
                <w:lang w:val="en-US"/>
              </w:rPr>
            </w:pPr>
            <w:r>
              <w:rPr>
                <w:rFonts w:ascii="Arial" w:hAnsi="Arial" w:cs="Arial"/>
                <w:b/>
                <w:color w:val="000000"/>
                <w:sz w:val="24"/>
                <w:szCs w:val="24"/>
                <w:lang w:val="en-US"/>
              </w:rPr>
              <w:t>Assist to coordinate, assess and report on the provisioning of curriculum enrichment and career guidance programmes to learners.</w:t>
            </w:r>
          </w:p>
        </w:tc>
      </w:tr>
    </w:tbl>
    <w:p w14:paraId="1F03117E"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74ADDFDF" w14:textId="77777777" w:rsidTr="00F9483B">
        <w:tc>
          <w:tcPr>
            <w:tcW w:w="10800" w:type="dxa"/>
            <w:gridSpan w:val="3"/>
            <w:shd w:val="clear" w:color="auto" w:fill="D9D9D9"/>
            <w:vAlign w:val="center"/>
          </w:tcPr>
          <w:p w14:paraId="53C2D68E"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2873EAD2" w14:textId="77777777" w:rsidTr="00485491">
        <w:tblPrEx>
          <w:shd w:val="clear" w:color="auto" w:fill="auto"/>
          <w:tblLook w:val="04A0" w:firstRow="1" w:lastRow="0" w:firstColumn="1" w:lastColumn="0" w:noHBand="0" w:noVBand="1"/>
        </w:tblPrEx>
        <w:tc>
          <w:tcPr>
            <w:tcW w:w="1016" w:type="dxa"/>
            <w:shd w:val="clear" w:color="auto" w:fill="D9D9D9"/>
          </w:tcPr>
          <w:p w14:paraId="4D72697E"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3945EDCD"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4AC0A1F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5B119DE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4DE36A5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23848756" w14:textId="77777777" w:rsidTr="00485491">
        <w:tblPrEx>
          <w:shd w:val="clear" w:color="auto" w:fill="auto"/>
          <w:tblLook w:val="04A0" w:firstRow="1" w:lastRow="0" w:firstColumn="1" w:lastColumn="0" w:noHBand="0" w:noVBand="1"/>
        </w:tblPrEx>
        <w:tc>
          <w:tcPr>
            <w:tcW w:w="1016" w:type="dxa"/>
          </w:tcPr>
          <w:p w14:paraId="020431E4"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75FAA2C2"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2B42EFC1"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41F492A9"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5EAB252D"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66BE09A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E941C0A" w14:textId="77777777" w:rsidTr="00485491">
        <w:tblPrEx>
          <w:shd w:val="clear" w:color="auto" w:fill="auto"/>
          <w:tblLook w:val="04A0" w:firstRow="1" w:lastRow="0" w:firstColumn="1" w:lastColumn="0" w:noHBand="0" w:noVBand="1"/>
        </w:tblPrEx>
        <w:tc>
          <w:tcPr>
            <w:tcW w:w="1016" w:type="dxa"/>
          </w:tcPr>
          <w:p w14:paraId="2E48AEE8"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356ACAC1" w14:textId="77777777" w:rsidR="00A136B0" w:rsidRDefault="00A136B0" w:rsidP="00A136B0">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promote and coordinate processes for the provisioning of for school sport services.</w:t>
            </w:r>
          </w:p>
          <w:p w14:paraId="5CF12B19" w14:textId="77777777" w:rsidR="00A136B0" w:rsidRDefault="00A136B0" w:rsidP="00A136B0">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 xml:space="preserve">Assist to promote and coordinate processes for the provisioning of school music, including choral music, visual and </w:t>
            </w:r>
            <w:proofErr w:type="spellStart"/>
            <w:r>
              <w:rPr>
                <w:rFonts w:ascii="Arial" w:hAnsi="Arial" w:cs="Arial"/>
                <w:color w:val="000000"/>
                <w:sz w:val="24"/>
                <w:szCs w:val="24"/>
                <w:lang w:val="en-US"/>
              </w:rPr>
              <w:t>perfoming</w:t>
            </w:r>
            <w:proofErr w:type="spellEnd"/>
            <w:r>
              <w:rPr>
                <w:rFonts w:ascii="Arial" w:hAnsi="Arial" w:cs="Arial"/>
                <w:color w:val="000000"/>
                <w:sz w:val="24"/>
                <w:szCs w:val="24"/>
                <w:lang w:val="en-US"/>
              </w:rPr>
              <w:t xml:space="preserve"> arts programmes at schools.</w:t>
            </w:r>
          </w:p>
          <w:p w14:paraId="2B0F47E2" w14:textId="77777777" w:rsidR="00A136B0" w:rsidRDefault="00A136B0" w:rsidP="00A136B0">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promote and coordinate processes for the implementation of debating, public speaking and leadership development programmes in schools.</w:t>
            </w:r>
          </w:p>
          <w:p w14:paraId="04456EDD" w14:textId="77777777" w:rsidR="00A136B0" w:rsidRDefault="00A136B0" w:rsidP="00A136B0">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promote learner participation in exhibitions Expos, festivals and Olympiads etc.</w:t>
            </w:r>
          </w:p>
          <w:p w14:paraId="76BACBE1" w14:textId="77777777" w:rsidR="006F05EC" w:rsidRPr="00813B90" w:rsidRDefault="00A136B0" w:rsidP="00A136B0">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coordinate processes for the provisioning and maintenance of libraries, resource and media centres in school.</w:t>
            </w:r>
            <w:r w:rsidR="006F4225" w:rsidRPr="006F4225">
              <w:rPr>
                <w:rFonts w:ascii="Arial" w:hAnsi="Arial" w:cs="Arial"/>
                <w:color w:val="000000"/>
                <w:sz w:val="24"/>
                <w:szCs w:val="24"/>
                <w:lang w:val="en-US"/>
              </w:rPr>
              <w:t>.</w:t>
            </w:r>
          </w:p>
        </w:tc>
        <w:tc>
          <w:tcPr>
            <w:tcW w:w="1883" w:type="dxa"/>
          </w:tcPr>
          <w:p w14:paraId="772C6E6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9423B9D" w14:textId="77777777" w:rsidTr="00485491">
        <w:tblPrEx>
          <w:shd w:val="clear" w:color="auto" w:fill="auto"/>
          <w:tblLook w:val="04A0" w:firstRow="1" w:lastRow="0" w:firstColumn="1" w:lastColumn="0" w:noHBand="0" w:noVBand="1"/>
        </w:tblPrEx>
        <w:tc>
          <w:tcPr>
            <w:tcW w:w="1016" w:type="dxa"/>
          </w:tcPr>
          <w:p w14:paraId="13049582"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31E86907"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C12125A" w14:textId="77777777" w:rsidR="000A5084" w:rsidRDefault="000A5084" w:rsidP="000A5084">
            <w:pPr>
              <w:spacing w:after="0" w:line="240" w:lineRule="auto"/>
              <w:jc w:val="both"/>
              <w:rPr>
                <w:rFonts w:ascii="Arial" w:eastAsia="Times New Roman" w:hAnsi="Arial" w:cs="Arial"/>
                <w:b/>
                <w:bCs/>
                <w:sz w:val="24"/>
                <w:szCs w:val="24"/>
                <w:lang w:val="en-GB"/>
              </w:rPr>
            </w:pPr>
          </w:p>
          <w:p w14:paraId="1C56D44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4A194EA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47EB275F"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3524506"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262EC50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B49932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00A02C4C"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1BD0185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02E2AF4" w14:textId="77777777" w:rsidTr="00485491">
        <w:tblPrEx>
          <w:shd w:val="clear" w:color="auto" w:fill="auto"/>
          <w:tblLook w:val="04A0" w:firstRow="1" w:lastRow="0" w:firstColumn="1" w:lastColumn="0" w:noHBand="0" w:noVBand="1"/>
        </w:tblPrEx>
        <w:tc>
          <w:tcPr>
            <w:tcW w:w="1016" w:type="dxa"/>
            <w:shd w:val="clear" w:color="auto" w:fill="D9D9D9"/>
          </w:tcPr>
          <w:p w14:paraId="1CF5C6FF"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1BDFF560"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79D51FB4"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6327363" w14:textId="77777777" w:rsidR="00714221" w:rsidRDefault="00714221"/>
    <w:p w14:paraId="58815EE7" w14:textId="77777777" w:rsidR="006F4225" w:rsidRDefault="006F4225"/>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2A4C54B9" w14:textId="77777777" w:rsidTr="00714221">
        <w:trPr>
          <w:trHeight w:val="260"/>
        </w:trPr>
        <w:tc>
          <w:tcPr>
            <w:tcW w:w="10800" w:type="dxa"/>
            <w:gridSpan w:val="3"/>
            <w:shd w:val="clear" w:color="auto" w:fill="D9D9D9"/>
            <w:vAlign w:val="center"/>
          </w:tcPr>
          <w:p w14:paraId="7622A62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66280601"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4D5B061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3806564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35AE6F3E"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287B4103"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B79D21B"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B7E0A43"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1D5C6583"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7CAF1CC4"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64EF84A9"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53C1322B"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FEE6C4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8A49A38" w14:textId="77777777" w:rsidTr="00F701A0">
        <w:tc>
          <w:tcPr>
            <w:tcW w:w="3697" w:type="dxa"/>
          </w:tcPr>
          <w:p w14:paraId="78BC8F98"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DDB639"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6141722B" w14:textId="77777777" w:rsidTr="00F701A0">
        <w:tc>
          <w:tcPr>
            <w:tcW w:w="3697" w:type="dxa"/>
          </w:tcPr>
          <w:p w14:paraId="5DBD5DBD"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44C1FE31"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26C5C9B1" w14:textId="77777777" w:rsidR="00612C60" w:rsidRPr="00612C60" w:rsidRDefault="00612C60" w:rsidP="00612C60">
      <w:pPr>
        <w:spacing w:after="0" w:line="240" w:lineRule="auto"/>
        <w:rPr>
          <w:rFonts w:ascii="Arial" w:eastAsia="Times New Roman" w:hAnsi="Arial" w:cs="Arial"/>
          <w:sz w:val="24"/>
          <w:szCs w:val="24"/>
          <w:lang w:val="en-US"/>
        </w:rPr>
      </w:pPr>
    </w:p>
    <w:p w14:paraId="0CD75EA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8C8DA7" w14:textId="77777777" w:rsidTr="00F701A0">
        <w:trPr>
          <w:trHeight w:val="260"/>
        </w:trPr>
        <w:tc>
          <w:tcPr>
            <w:tcW w:w="10800" w:type="dxa"/>
            <w:shd w:val="clear" w:color="auto" w:fill="D9D9D9"/>
            <w:vAlign w:val="center"/>
          </w:tcPr>
          <w:p w14:paraId="3D55D30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4B2313AA" w14:textId="77777777" w:rsidR="00612C60" w:rsidRPr="00612C60" w:rsidRDefault="00612C60" w:rsidP="00612C60">
      <w:pPr>
        <w:spacing w:after="0" w:line="240" w:lineRule="auto"/>
        <w:rPr>
          <w:rFonts w:ascii="Arial" w:eastAsia="Times New Roman" w:hAnsi="Arial" w:cs="Arial"/>
          <w:sz w:val="24"/>
          <w:szCs w:val="24"/>
          <w:lang w:val="en-US"/>
        </w:rPr>
      </w:pPr>
    </w:p>
    <w:p w14:paraId="1BB62BFD"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6C24A7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37DD10D" w14:textId="77777777" w:rsidTr="00F701A0">
        <w:trPr>
          <w:trHeight w:val="260"/>
        </w:trPr>
        <w:tc>
          <w:tcPr>
            <w:tcW w:w="10800" w:type="dxa"/>
            <w:shd w:val="clear" w:color="auto" w:fill="D9D9D9"/>
            <w:vAlign w:val="center"/>
          </w:tcPr>
          <w:p w14:paraId="56AFDB5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CC9A7A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F3199E4" w14:textId="77777777" w:rsidR="00612C60" w:rsidRPr="00612C60" w:rsidRDefault="00612C60" w:rsidP="00612C60">
      <w:pPr>
        <w:spacing w:after="0" w:line="240" w:lineRule="auto"/>
        <w:rPr>
          <w:rFonts w:ascii="Arial" w:eastAsia="Times New Roman" w:hAnsi="Arial" w:cs="Arial"/>
          <w:sz w:val="24"/>
          <w:szCs w:val="24"/>
          <w:lang w:val="en-US"/>
        </w:rPr>
      </w:pPr>
    </w:p>
    <w:p w14:paraId="0CE9B325"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7C8A5AD2"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62CB15F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5F79A3" w14:textId="77777777" w:rsidTr="00F701A0">
        <w:trPr>
          <w:trHeight w:val="260"/>
        </w:trPr>
        <w:tc>
          <w:tcPr>
            <w:tcW w:w="10800" w:type="dxa"/>
            <w:shd w:val="clear" w:color="auto" w:fill="D9D9D9"/>
            <w:vAlign w:val="center"/>
          </w:tcPr>
          <w:p w14:paraId="241658F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51CA126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0307EAA"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6F780EA8"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BD72722"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380536F7"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3B1A860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0395CF9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254A453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2D4D91D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13E0B68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2EC82A12"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002CF20"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16D0EF9F"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88556F0"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5E652D85"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A903C94"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A70DDD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6FC8144"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FF7CB9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04A616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087AEDF"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404C5D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CADE16F" w14:textId="77777777" w:rsidR="00DB1E94" w:rsidRDefault="00DB1E94" w:rsidP="00612C60">
      <w:pPr>
        <w:spacing w:after="0" w:line="240" w:lineRule="auto"/>
        <w:rPr>
          <w:rFonts w:ascii="Arial" w:eastAsia="Times New Roman" w:hAnsi="Arial" w:cs="Arial"/>
          <w:sz w:val="24"/>
          <w:szCs w:val="24"/>
          <w:lang w:val="en-US"/>
        </w:rPr>
      </w:pPr>
    </w:p>
    <w:p w14:paraId="45AE38CA" w14:textId="77777777" w:rsidR="005A3630" w:rsidRDefault="005A3630" w:rsidP="00612C60">
      <w:pPr>
        <w:spacing w:after="0" w:line="240" w:lineRule="auto"/>
        <w:rPr>
          <w:rFonts w:ascii="Arial" w:eastAsia="Times New Roman" w:hAnsi="Arial" w:cs="Arial"/>
          <w:sz w:val="24"/>
          <w:szCs w:val="24"/>
          <w:lang w:val="en-US"/>
        </w:rPr>
      </w:pPr>
    </w:p>
    <w:p w14:paraId="47C57293" w14:textId="77777777" w:rsidR="005A3630" w:rsidRDefault="005A3630" w:rsidP="00612C60">
      <w:pPr>
        <w:spacing w:after="0" w:line="240" w:lineRule="auto"/>
        <w:rPr>
          <w:rFonts w:ascii="Arial" w:eastAsia="Times New Roman" w:hAnsi="Arial" w:cs="Arial"/>
          <w:sz w:val="24"/>
          <w:szCs w:val="24"/>
          <w:lang w:val="en-US"/>
        </w:rPr>
      </w:pPr>
    </w:p>
    <w:p w14:paraId="7CC95F65"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25ACAB38" w14:textId="77777777" w:rsidTr="005F322F">
        <w:tc>
          <w:tcPr>
            <w:tcW w:w="10800" w:type="dxa"/>
            <w:gridSpan w:val="2"/>
            <w:shd w:val="clear" w:color="auto" w:fill="D9D9D9"/>
            <w:vAlign w:val="center"/>
          </w:tcPr>
          <w:p w14:paraId="545D9868"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39F96677" w14:textId="77777777" w:rsidTr="00F701A0">
        <w:tblPrEx>
          <w:shd w:val="clear" w:color="auto" w:fill="auto"/>
        </w:tblPrEx>
        <w:tc>
          <w:tcPr>
            <w:tcW w:w="10800" w:type="dxa"/>
            <w:gridSpan w:val="2"/>
            <w:shd w:val="clear" w:color="auto" w:fill="DDDDDD"/>
            <w:vAlign w:val="center"/>
          </w:tcPr>
          <w:p w14:paraId="6C314A39"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7B919FB" w14:textId="77777777" w:rsidTr="00F701A0">
        <w:tblPrEx>
          <w:shd w:val="clear" w:color="auto" w:fill="auto"/>
        </w:tblPrEx>
        <w:trPr>
          <w:trHeight w:val="368"/>
        </w:trPr>
        <w:tc>
          <w:tcPr>
            <w:tcW w:w="3697" w:type="dxa"/>
          </w:tcPr>
          <w:p w14:paraId="2FDCC38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4345621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57D0DC9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02ABEE6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18E5422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2E26B0A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1D52C34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0B1ACD9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1E4D0BC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0CCA359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44771A0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282E6A84"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0F19B0EE" w14:textId="77777777" w:rsidTr="00F701A0">
        <w:tblPrEx>
          <w:shd w:val="clear" w:color="auto" w:fill="auto"/>
        </w:tblPrEx>
        <w:trPr>
          <w:trHeight w:val="368"/>
        </w:trPr>
        <w:tc>
          <w:tcPr>
            <w:tcW w:w="3697" w:type="dxa"/>
          </w:tcPr>
          <w:p w14:paraId="332665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30B569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45057C0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7E72FF1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1CB0EF3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4AD522E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6DA9250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0CFD617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6F9104C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971D589"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6DF1F8CB" w14:textId="77777777" w:rsidTr="00F701A0">
        <w:tblPrEx>
          <w:shd w:val="clear" w:color="auto" w:fill="auto"/>
        </w:tblPrEx>
        <w:trPr>
          <w:trHeight w:val="368"/>
        </w:trPr>
        <w:tc>
          <w:tcPr>
            <w:tcW w:w="3697" w:type="dxa"/>
          </w:tcPr>
          <w:p w14:paraId="67A54AD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B35E729" w14:textId="55F5DA75" w:rsidR="00612C60" w:rsidRPr="00057943" w:rsidRDefault="00013050"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076384FA" w14:textId="77777777" w:rsidTr="00F701A0">
        <w:tblPrEx>
          <w:shd w:val="clear" w:color="auto" w:fill="auto"/>
        </w:tblPrEx>
        <w:trPr>
          <w:trHeight w:val="368"/>
        </w:trPr>
        <w:tc>
          <w:tcPr>
            <w:tcW w:w="3697" w:type="dxa"/>
          </w:tcPr>
          <w:p w14:paraId="76E268F9"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6E20194"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21D10E1C" w14:textId="77777777" w:rsidTr="00F701A0">
        <w:tblPrEx>
          <w:shd w:val="clear" w:color="auto" w:fill="auto"/>
        </w:tblPrEx>
        <w:trPr>
          <w:trHeight w:val="414"/>
        </w:trPr>
        <w:tc>
          <w:tcPr>
            <w:tcW w:w="3697" w:type="dxa"/>
          </w:tcPr>
          <w:p w14:paraId="0FF1281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19CAA57"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623FA23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3E3F3DA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1B2CD41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C97C1EF" w14:textId="77777777" w:rsidTr="00F701A0">
        <w:tblPrEx>
          <w:shd w:val="clear" w:color="auto" w:fill="auto"/>
        </w:tblPrEx>
        <w:trPr>
          <w:trHeight w:val="414"/>
        </w:trPr>
        <w:tc>
          <w:tcPr>
            <w:tcW w:w="3697" w:type="dxa"/>
          </w:tcPr>
          <w:p w14:paraId="6C1711E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C169A91"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1A3489D0"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4F7D1B5" w14:textId="77777777" w:rsidR="00324D30" w:rsidRPr="00612C60" w:rsidRDefault="00324D3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3D7D2092" w14:textId="77777777" w:rsidTr="00F701A0">
        <w:tc>
          <w:tcPr>
            <w:tcW w:w="10800" w:type="dxa"/>
            <w:shd w:val="clear" w:color="auto" w:fill="D9D9D9"/>
          </w:tcPr>
          <w:p w14:paraId="0234C52E"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C86FA85" w14:textId="77777777" w:rsidTr="00F701A0">
        <w:tc>
          <w:tcPr>
            <w:tcW w:w="3697" w:type="dxa"/>
          </w:tcPr>
          <w:p w14:paraId="045756F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5B0D924"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31457BE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1AE767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030274"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E596047" w14:textId="77777777" w:rsidTr="00F701A0">
        <w:tc>
          <w:tcPr>
            <w:tcW w:w="10710" w:type="dxa"/>
            <w:shd w:val="clear" w:color="auto" w:fill="D9D9D9"/>
          </w:tcPr>
          <w:p w14:paraId="6781EC7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45CF75D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2E857E7"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681057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6144A8C" w14:textId="77777777" w:rsidTr="00F701A0">
        <w:tc>
          <w:tcPr>
            <w:tcW w:w="10710" w:type="dxa"/>
            <w:shd w:val="clear" w:color="auto" w:fill="D9D9D9"/>
          </w:tcPr>
          <w:p w14:paraId="7EBCA50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737CB57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24BC4C6"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7FC88850"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B226198"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7EE0BE5C" w14:textId="77777777" w:rsidTr="00F701A0">
        <w:tc>
          <w:tcPr>
            <w:tcW w:w="10710" w:type="dxa"/>
            <w:shd w:val="clear" w:color="auto" w:fill="D9D9D9"/>
          </w:tcPr>
          <w:p w14:paraId="0106D9DE"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0EF3CFC7"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27D11C5C" w14:textId="77777777" w:rsidTr="00F701A0">
        <w:trPr>
          <w:trHeight w:val="2607"/>
        </w:trPr>
        <w:tc>
          <w:tcPr>
            <w:tcW w:w="10710" w:type="dxa"/>
          </w:tcPr>
          <w:p w14:paraId="3A76CA2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A36113B" w14:textId="77777777" w:rsidR="00612C60" w:rsidRDefault="00612C60" w:rsidP="00612C60">
            <w:pPr>
              <w:widowControl w:val="0"/>
              <w:spacing w:after="0" w:line="240" w:lineRule="auto"/>
              <w:rPr>
                <w:rFonts w:ascii="Arial" w:eastAsia="Times New Roman" w:hAnsi="Arial" w:cs="Arial"/>
                <w:sz w:val="24"/>
                <w:szCs w:val="24"/>
                <w:lang w:val="en-US"/>
              </w:rPr>
            </w:pPr>
          </w:p>
          <w:p w14:paraId="07400730"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3E606E9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47E780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2CEBB9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FFE978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507AE1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2AEB45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3489352"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24868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EF06E3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C18961" w14:textId="77777777" w:rsidR="00612C60" w:rsidRPr="00612C60" w:rsidRDefault="00612C60" w:rsidP="00612C60">
            <w:pPr>
              <w:spacing w:after="0" w:line="240" w:lineRule="auto"/>
              <w:rPr>
                <w:rFonts w:ascii="Arial" w:eastAsia="Times New Roman" w:hAnsi="Arial" w:cs="Arial"/>
                <w:sz w:val="24"/>
                <w:szCs w:val="24"/>
                <w:lang w:val="en-US"/>
              </w:rPr>
            </w:pPr>
          </w:p>
          <w:p w14:paraId="73C00DB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9DA867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F652F37"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C39C4EC"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6F4460D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E4085E" w14:textId="77777777" w:rsidR="0086263E" w:rsidRDefault="0086263E" w:rsidP="004F4EE3">
      <w:pPr>
        <w:spacing w:after="0" w:line="240" w:lineRule="auto"/>
      </w:pPr>
      <w:r>
        <w:separator/>
      </w:r>
    </w:p>
  </w:endnote>
  <w:endnote w:type="continuationSeparator" w:id="0">
    <w:p w14:paraId="6E455822" w14:textId="77777777" w:rsidR="0086263E" w:rsidRDefault="0086263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94059" w14:textId="77777777" w:rsidR="0086263E" w:rsidRDefault="0086263E" w:rsidP="004F4EE3">
      <w:pPr>
        <w:spacing w:after="0" w:line="240" w:lineRule="auto"/>
      </w:pPr>
      <w:r>
        <w:separator/>
      </w:r>
    </w:p>
  </w:footnote>
  <w:footnote w:type="continuationSeparator" w:id="0">
    <w:p w14:paraId="21CA70AE" w14:textId="77777777" w:rsidR="0086263E" w:rsidRDefault="0086263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3050"/>
    <w:rsid w:val="00016757"/>
    <w:rsid w:val="00033F8B"/>
    <w:rsid w:val="00057943"/>
    <w:rsid w:val="0006297F"/>
    <w:rsid w:val="00077734"/>
    <w:rsid w:val="00091313"/>
    <w:rsid w:val="000A1A95"/>
    <w:rsid w:val="000A222A"/>
    <w:rsid w:val="000A41BE"/>
    <w:rsid w:val="000A4239"/>
    <w:rsid w:val="000A5084"/>
    <w:rsid w:val="000A5266"/>
    <w:rsid w:val="000D0EF7"/>
    <w:rsid w:val="000D758A"/>
    <w:rsid w:val="001000E4"/>
    <w:rsid w:val="00104ADB"/>
    <w:rsid w:val="001066F4"/>
    <w:rsid w:val="00123D85"/>
    <w:rsid w:val="00125B9F"/>
    <w:rsid w:val="001319F1"/>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336CF"/>
    <w:rsid w:val="00241D33"/>
    <w:rsid w:val="00242A25"/>
    <w:rsid w:val="00250106"/>
    <w:rsid w:val="00275018"/>
    <w:rsid w:val="00290FB5"/>
    <w:rsid w:val="002A754C"/>
    <w:rsid w:val="002B0509"/>
    <w:rsid w:val="002D3A08"/>
    <w:rsid w:val="002D4A8E"/>
    <w:rsid w:val="002D5736"/>
    <w:rsid w:val="002F309F"/>
    <w:rsid w:val="00301086"/>
    <w:rsid w:val="00324D30"/>
    <w:rsid w:val="003253F6"/>
    <w:rsid w:val="003272E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A0996"/>
    <w:rsid w:val="004D6600"/>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6F4225"/>
    <w:rsid w:val="0070587F"/>
    <w:rsid w:val="00710909"/>
    <w:rsid w:val="00714221"/>
    <w:rsid w:val="007162C3"/>
    <w:rsid w:val="007271A2"/>
    <w:rsid w:val="00727524"/>
    <w:rsid w:val="00744D2E"/>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263E"/>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36B0"/>
    <w:rsid w:val="00A16BF7"/>
    <w:rsid w:val="00A20F9D"/>
    <w:rsid w:val="00A21DDF"/>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A5D5C"/>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D7484"/>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85E48"/>
    <w:rsid w:val="00E9234B"/>
    <w:rsid w:val="00E92D73"/>
    <w:rsid w:val="00EB51A6"/>
    <w:rsid w:val="00EB5988"/>
    <w:rsid w:val="00ED779E"/>
    <w:rsid w:val="00EF42D7"/>
    <w:rsid w:val="00EF4688"/>
    <w:rsid w:val="00EF7FCB"/>
    <w:rsid w:val="00F15354"/>
    <w:rsid w:val="00F1691A"/>
    <w:rsid w:val="00F16DD5"/>
    <w:rsid w:val="00F26014"/>
    <w:rsid w:val="00F375AD"/>
    <w:rsid w:val="00F536D9"/>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2DD1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3B886-1F30-4071-964E-532DA87C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2019-11-25T10:10:00Z</dcterms:created>
  <dcterms:modified xsi:type="dcterms:W3CDTF">2020-03-01T08:55:00Z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