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762362">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00762362">
              <w:rPr>
                <w:rFonts w:ascii="Arial" w:eastAsia="Times New Roman" w:hAnsi="Arial" w:cs="Arial"/>
                <w:sz w:val="24"/>
                <w:szCs w:val="24"/>
                <w:lang w:val="en-GB"/>
              </w:rPr>
              <w:t xml:space="preserve">CONTRACT </w:t>
            </w:r>
            <w:r w:rsidR="00965E8B">
              <w:rPr>
                <w:rFonts w:ascii="Arial" w:eastAsia="Times New Roman" w:hAnsi="Arial" w:cs="Arial"/>
                <w:sz w:val="24"/>
                <w:szCs w:val="24"/>
                <w:lang w:val="en-GB"/>
              </w:rPr>
              <w:t>MANAGEMENT SERVICES</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965E8B" w:rsidP="00612C60">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&amp; ICT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AD13DA" w:rsidP="00965E8B">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324F94">
              <w:rPr>
                <w:rFonts w:ascii="Arial" w:eastAsia="Times New Roman" w:hAnsi="Arial" w:cs="Arial"/>
                <w:sz w:val="24"/>
                <w:szCs w:val="24"/>
                <w:lang w:val="en-US"/>
              </w:rPr>
              <w:t xml:space="preserve"> DIERCTOR: </w:t>
            </w:r>
            <w:r w:rsidR="00674D06" w:rsidRPr="0081526E">
              <w:rPr>
                <w:rFonts w:ascii="Arial" w:eastAsia="Times New Roman" w:hAnsi="Arial" w:cs="Arial"/>
                <w:sz w:val="24"/>
                <w:szCs w:val="24"/>
                <w:lang w:val="en-US"/>
              </w:rPr>
              <w:t xml:space="preserve">DISTRICT </w:t>
            </w:r>
            <w:r w:rsidR="00965E8B">
              <w:rPr>
                <w:rFonts w:ascii="Arial" w:eastAsia="Times New Roman" w:hAnsi="Arial" w:cs="Arial"/>
                <w:sz w:val="24"/>
                <w:szCs w:val="24"/>
              </w:rPr>
              <w:t xml:space="preserve"> </w:t>
            </w:r>
            <w:r w:rsidR="00965E8B">
              <w:rPr>
                <w:rFonts w:ascii="Arial" w:eastAsia="Times New Roman" w:hAnsi="Arial" w:cs="Arial"/>
                <w:sz w:val="24"/>
                <w:szCs w:val="24"/>
              </w:rPr>
              <w:t>SUPPLY CHAIN MANAGEMENT &amp; ICT</w:t>
            </w:r>
            <w:r w:rsidR="00965E8B" w:rsidRPr="0081526E">
              <w:rPr>
                <w:rFonts w:ascii="Arial" w:eastAsia="Times New Roman" w:hAnsi="Arial" w:cs="Arial"/>
                <w:sz w:val="24"/>
                <w:szCs w:val="24"/>
                <w:lang w:val="en-US"/>
              </w:rPr>
              <w:t xml:space="preserve"> </w:t>
            </w:r>
            <w:r w:rsidR="007F6820" w:rsidRPr="0081526E">
              <w:rPr>
                <w:rFonts w:ascii="Arial" w:eastAsia="Times New Roman" w:hAnsi="Arial" w:cs="Arial"/>
                <w:sz w:val="24"/>
                <w:szCs w:val="24"/>
                <w:lang w:val="en-US"/>
              </w:rPr>
              <w:t>(</w:t>
            </w:r>
            <w:r w:rsidRPr="0081526E">
              <w:rPr>
                <w:rFonts w:ascii="Arial" w:eastAsia="Times New Roman" w:hAnsi="Arial" w:cs="Arial"/>
                <w:sz w:val="24"/>
                <w:szCs w:val="24"/>
                <w:lang w:val="en-US"/>
              </w:rPr>
              <w:t>DD</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762362" w:rsidRDefault="00612C60" w:rsidP="00612C60">
      <w:pPr>
        <w:widowControl w:val="0"/>
        <w:spacing w:after="0" w:line="240" w:lineRule="auto"/>
        <w:rPr>
          <w:rFonts w:ascii="Arial" w:eastAsia="Times New Roman" w:hAnsi="Arial" w:cs="Arial"/>
          <w:b/>
          <w:sz w:val="24"/>
          <w:szCs w:val="24"/>
          <w:lang w:val="en-US"/>
        </w:rPr>
      </w:pPr>
    </w:p>
    <w:p w:rsidR="00592B5D" w:rsidRPr="00762362" w:rsidRDefault="00762362" w:rsidP="00762362">
      <w:pPr>
        <w:widowControl w:val="0"/>
        <w:spacing w:after="0" w:line="240" w:lineRule="auto"/>
        <w:rPr>
          <w:rFonts w:ascii="Arial" w:eastAsia="Times New Roman" w:hAnsi="Arial" w:cs="Arial"/>
          <w:b/>
          <w:sz w:val="24"/>
          <w:szCs w:val="24"/>
          <w:lang w:val="en-US"/>
        </w:rPr>
      </w:pPr>
      <w:r w:rsidRPr="00762362">
        <w:rPr>
          <w:rFonts w:ascii="Arial" w:hAnsi="Arial" w:cs="Arial"/>
          <w:b/>
          <w:color w:val="000000"/>
          <w:sz w:val="24"/>
          <w:szCs w:val="24"/>
          <w:lang w:val="en-US"/>
        </w:rPr>
        <w:t>To provide contract management services</w:t>
      </w:r>
    </w:p>
    <w:p w:rsidR="00762362" w:rsidRPr="00612C60" w:rsidRDefault="00762362"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762362" w:rsidRPr="00762362" w:rsidRDefault="00762362" w:rsidP="00762362">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762362">
              <w:rPr>
                <w:rFonts w:ascii="Arial" w:hAnsi="Arial" w:cs="Arial"/>
                <w:color w:val="000000"/>
                <w:sz w:val="24"/>
                <w:szCs w:val="24"/>
              </w:rPr>
              <w:t>Coordinate and oversee contractual and service level agreement arrangement within ECDoE.</w:t>
            </w:r>
          </w:p>
          <w:p w:rsidR="00762362" w:rsidRPr="00762362" w:rsidRDefault="00762362" w:rsidP="00762362">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762362">
              <w:rPr>
                <w:rFonts w:ascii="Arial" w:hAnsi="Arial" w:cs="Arial"/>
                <w:color w:val="000000"/>
                <w:sz w:val="24"/>
                <w:szCs w:val="24"/>
              </w:rPr>
              <w:t>Develop and maintain ECDoE’s Contract Register.</w:t>
            </w:r>
            <w:bookmarkStart w:id="0" w:name="_GoBack"/>
            <w:bookmarkEnd w:id="0"/>
          </w:p>
          <w:p w:rsidR="009D10EF" w:rsidRPr="00762362" w:rsidRDefault="00762362" w:rsidP="00762362">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762362">
              <w:rPr>
                <w:rFonts w:ascii="Arial" w:hAnsi="Arial" w:cs="Arial"/>
                <w:color w:val="000000"/>
                <w:sz w:val="24"/>
                <w:szCs w:val="24"/>
              </w:rPr>
              <w:t>Monitor, evaluate and report on contract management practices.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C10C01" w:rsidRPr="00612C60" w:rsidTr="00927D54">
        <w:trPr>
          <w:trHeight w:val="710"/>
        </w:trPr>
        <w:tc>
          <w:tcPr>
            <w:tcW w:w="1260" w:type="dxa"/>
            <w:tcBorders>
              <w:bottom w:val="single" w:sz="4" w:space="0" w:color="auto"/>
            </w:tcBorders>
          </w:tcPr>
          <w:p w:rsidR="00C10C01" w:rsidRPr="00927D54" w:rsidRDefault="00674D06"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lastRenderedPageBreak/>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lastRenderedPageBreak/>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lastRenderedPageBreak/>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D47" w:rsidRDefault="005C2D47" w:rsidP="004F4EE3">
      <w:pPr>
        <w:spacing w:after="0" w:line="240" w:lineRule="auto"/>
      </w:pPr>
      <w:r>
        <w:separator/>
      </w:r>
    </w:p>
  </w:endnote>
  <w:endnote w:type="continuationSeparator" w:id="0">
    <w:p w:rsidR="005C2D47" w:rsidRDefault="005C2D4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D47" w:rsidRDefault="005C2D47" w:rsidP="004F4EE3">
      <w:pPr>
        <w:spacing w:after="0" w:line="240" w:lineRule="auto"/>
      </w:pPr>
      <w:r>
        <w:separator/>
      </w:r>
    </w:p>
  </w:footnote>
  <w:footnote w:type="continuationSeparator" w:id="0">
    <w:p w:rsidR="005C2D47" w:rsidRDefault="005C2D4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762A0"/>
    <w:rsid w:val="0049400E"/>
    <w:rsid w:val="0049646D"/>
    <w:rsid w:val="004979EB"/>
    <w:rsid w:val="004E3ADB"/>
    <w:rsid w:val="004F4EE3"/>
    <w:rsid w:val="005201A8"/>
    <w:rsid w:val="00542FC3"/>
    <w:rsid w:val="00551306"/>
    <w:rsid w:val="005554AB"/>
    <w:rsid w:val="00585800"/>
    <w:rsid w:val="00592B5D"/>
    <w:rsid w:val="0059389E"/>
    <w:rsid w:val="005B2CD4"/>
    <w:rsid w:val="005C2D47"/>
    <w:rsid w:val="005C4418"/>
    <w:rsid w:val="00612C60"/>
    <w:rsid w:val="006261B2"/>
    <w:rsid w:val="00626883"/>
    <w:rsid w:val="00634FD8"/>
    <w:rsid w:val="00650DC9"/>
    <w:rsid w:val="0066164F"/>
    <w:rsid w:val="00674D06"/>
    <w:rsid w:val="006B3FAD"/>
    <w:rsid w:val="006B74F9"/>
    <w:rsid w:val="006C4EE2"/>
    <w:rsid w:val="006F265C"/>
    <w:rsid w:val="007162C3"/>
    <w:rsid w:val="007271A2"/>
    <w:rsid w:val="0076236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65733"/>
    <w:rsid w:val="00965E8B"/>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870EC"/>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3C42"/>
    <w:rsid w:val="00DC60B8"/>
    <w:rsid w:val="00DD1BD9"/>
    <w:rsid w:val="00E44F67"/>
    <w:rsid w:val="00E458FD"/>
    <w:rsid w:val="00E743B7"/>
    <w:rsid w:val="00E9234B"/>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6ACD3"/>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43AFE-371F-4811-A9A8-04C4D298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659</Words>
  <Characters>3760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School EC</cp:lastModifiedBy>
  <cp:revision>3</cp:revision>
  <cp:lastPrinted>2015-10-13T07:09:00Z</cp:lastPrinted>
  <dcterms:created xsi:type="dcterms:W3CDTF">2018-07-20T07:33:00Z</dcterms:created>
  <dcterms:modified xsi:type="dcterms:W3CDTF">2018-07-20T07:35:00Z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