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C6099B">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00017BC4">
              <w:rPr>
                <w:rFonts w:ascii="Arial" w:eastAsia="Times New Roman" w:hAnsi="Arial" w:cs="Arial"/>
                <w:sz w:val="24"/>
                <w:szCs w:val="24"/>
                <w:lang w:val="en-GB"/>
              </w:rPr>
              <w:t>SCHOOL HEALTH</w:t>
            </w:r>
            <w:r w:rsidR="00C6099B">
              <w:rPr>
                <w:rFonts w:ascii="Arial" w:eastAsia="Times New Roman" w:hAnsi="Arial" w:cs="Arial"/>
                <w:sz w:val="24"/>
                <w:szCs w:val="24"/>
                <w:lang w:val="en-GB"/>
              </w:rPr>
              <w:t xml:space="preserve"> (</w:t>
            </w:r>
            <w:r w:rsidR="00017BC4">
              <w:rPr>
                <w:rFonts w:ascii="Arial" w:eastAsia="Times New Roman" w:hAnsi="Arial" w:cs="Arial"/>
                <w:sz w:val="24"/>
                <w:szCs w:val="24"/>
                <w:lang w:val="en-GB"/>
              </w:rPr>
              <w:t>DISTRICT</w:t>
            </w:r>
            <w:r w:rsidR="002F218C">
              <w:rPr>
                <w:rFonts w:ascii="Arial" w:eastAsia="Times New Roman" w:hAnsi="Arial" w:cs="Arial"/>
                <w:sz w:val="24"/>
                <w:szCs w:val="24"/>
                <w:lang w:val="en-GB"/>
              </w:rPr>
              <w: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017BC4"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EDUCATION SOCIAL SUPPORT SERVICES</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C51337" w:rsidRDefault="00017BC4" w:rsidP="00C51337">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CES: EDUCATION SOCIAL SUPPORT SERVICES</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C51337" w:rsidRDefault="00017BC4"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To coordinate the provisioning of school health services to learners.</w:t>
      </w:r>
    </w:p>
    <w:p w:rsidR="00017BC4" w:rsidRPr="00612C60" w:rsidRDefault="00017BC4"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E27CB9" w:rsidRPr="002B7242" w:rsidRDefault="00E27CB9" w:rsidP="00E27CB9">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rsidR="00E27CB9" w:rsidRDefault="00E27CB9" w:rsidP="00E27CB9">
            <w:pPr>
              <w:pStyle w:val="NoSpacing"/>
              <w:numPr>
                <w:ilvl w:val="0"/>
                <w:numId w:val="42"/>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rsidR="00E27CB9" w:rsidRDefault="00E27CB9" w:rsidP="00E27CB9">
            <w:pPr>
              <w:pStyle w:val="NoSpacing"/>
              <w:numPr>
                <w:ilvl w:val="0"/>
                <w:numId w:val="42"/>
              </w:numPr>
              <w:jc w:val="both"/>
              <w:rPr>
                <w:rFonts w:ascii="Arial" w:hAnsi="Arial" w:cs="Arial"/>
                <w:b/>
                <w:lang w:val="en-ZA"/>
              </w:rPr>
            </w:pPr>
            <w:r>
              <w:rPr>
                <w:rFonts w:ascii="Arial" w:hAnsi="Arial" w:cs="Arial"/>
                <w:lang w:val="en-ZA"/>
              </w:rPr>
              <w:t>Develop and monitor the implementation of the related plans and programmes</w:t>
            </w:r>
          </w:p>
          <w:p w:rsidR="00F72AC6" w:rsidRPr="00C51337" w:rsidRDefault="00F72AC6" w:rsidP="00E27CB9">
            <w:pPr>
              <w:autoSpaceDE w:val="0"/>
              <w:autoSpaceDN w:val="0"/>
              <w:adjustRightInd w:val="0"/>
              <w:spacing w:after="0" w:line="288" w:lineRule="auto"/>
              <w:rPr>
                <w:rFonts w:ascii="Arial" w:hAnsi="Arial" w:cs="Arial"/>
                <w:color w:val="000000"/>
                <w:sz w:val="24"/>
                <w:szCs w:val="24"/>
              </w:rPr>
            </w:pP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E27CB9" w:rsidRPr="00612C60" w:rsidTr="00F701A0">
        <w:tc>
          <w:tcPr>
            <w:tcW w:w="1260" w:type="dxa"/>
          </w:tcPr>
          <w:p w:rsidR="00E27CB9" w:rsidRPr="00927D54" w:rsidRDefault="00E27CB9"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p>
        </w:tc>
        <w:tc>
          <w:tcPr>
            <w:tcW w:w="6930" w:type="dxa"/>
          </w:tcPr>
          <w:p w:rsidR="00E27CB9" w:rsidRDefault="00E27CB9" w:rsidP="00E27CB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Coordinate the provision of school health services at ordinary, full service, special and independent schools.</w:t>
            </w:r>
          </w:p>
          <w:p w:rsidR="00E27CB9" w:rsidRDefault="00E27CB9" w:rsidP="00E27CB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Liaise with district office of the Health Department, relevant local municipalities, NGO’s and other health service providers and partners to secure the appropriate coverage of all schools in the district.</w:t>
            </w:r>
          </w:p>
          <w:p w:rsidR="00E27CB9" w:rsidRDefault="00E27CB9" w:rsidP="00E27CB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Coordinate the provisioning of primary health services to leaners with HIV/AIDS and other chronic diseases in schools.</w:t>
            </w:r>
          </w:p>
          <w:p w:rsidR="00E27CB9" w:rsidRDefault="00E27CB9" w:rsidP="00E27CB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Coordinate screening and support programmes for learners with eyesight, hearing, dental and related health conditions.</w:t>
            </w:r>
          </w:p>
          <w:p w:rsidR="00E27CB9" w:rsidRDefault="00E27CB9" w:rsidP="00E27CB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Coordinate periodic screening of learners for stunting, nutritional deficiencies and related nutrition-based health challenges.</w:t>
            </w:r>
          </w:p>
          <w:p w:rsidR="00E27CB9" w:rsidRDefault="00E27CB9" w:rsidP="00E27CB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Monitor schools for the outbreaks of contagious diseases, report thereon and coordinate with the Health Department the implementation of containment measures.</w:t>
            </w:r>
          </w:p>
          <w:p w:rsidR="00E27CB9" w:rsidRDefault="00E27CB9" w:rsidP="00E27CB9">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Coordinate, monitor and report on the implementation of occupational health and safety measures affecting learners in school.</w:t>
            </w:r>
          </w:p>
        </w:tc>
        <w:tc>
          <w:tcPr>
            <w:tcW w:w="2520" w:type="dxa"/>
          </w:tcPr>
          <w:p w:rsidR="00E27CB9" w:rsidRPr="00927D54" w:rsidRDefault="00E27CB9" w:rsidP="00927D54">
            <w:pPr>
              <w:widowControl w:val="0"/>
              <w:spacing w:after="0"/>
              <w:jc w:val="both"/>
              <w:rPr>
                <w:rFonts w:ascii="Arial" w:eastAsia="Times New Roman" w:hAnsi="Arial" w:cs="Arial"/>
                <w:b/>
                <w:sz w:val="24"/>
                <w:szCs w:val="24"/>
                <w:lang w:val="en-GB"/>
              </w:rPr>
            </w:pPr>
          </w:p>
        </w:tc>
      </w:tr>
      <w:tr w:rsidR="00C10C01" w:rsidRPr="00612C60" w:rsidTr="00927D54">
        <w:trPr>
          <w:trHeight w:val="710"/>
        </w:trPr>
        <w:tc>
          <w:tcPr>
            <w:tcW w:w="1260" w:type="dxa"/>
            <w:tcBorders>
              <w:bottom w:val="single" w:sz="4" w:space="0" w:color="auto"/>
            </w:tcBorders>
          </w:tcPr>
          <w:p w:rsidR="00C10C01" w:rsidRPr="00927D54" w:rsidRDefault="00DA071E"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E27CB9" w:rsidRPr="00D0219C" w:rsidRDefault="00E27CB9" w:rsidP="00E27CB9">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rsidR="00E27CB9" w:rsidRDefault="00E27CB9" w:rsidP="00E27CB9">
            <w:pPr>
              <w:spacing w:after="0" w:line="240" w:lineRule="auto"/>
              <w:jc w:val="both"/>
              <w:rPr>
                <w:rFonts w:ascii="Arial" w:eastAsia="Times New Roman" w:hAnsi="Arial" w:cs="Arial"/>
                <w:b/>
                <w:bCs/>
                <w:sz w:val="24"/>
                <w:szCs w:val="24"/>
                <w:lang w:val="en-GB"/>
              </w:rPr>
            </w:pPr>
          </w:p>
          <w:p w:rsidR="00E27CB9" w:rsidRDefault="00E27CB9" w:rsidP="00E27CB9">
            <w:pPr>
              <w:pStyle w:val="ListParagraph"/>
              <w:numPr>
                <w:ilvl w:val="0"/>
                <w:numId w:val="43"/>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rsidR="00E27CB9" w:rsidRDefault="00E27CB9" w:rsidP="00E27CB9">
            <w:pPr>
              <w:pStyle w:val="ListParagraph"/>
              <w:numPr>
                <w:ilvl w:val="0"/>
                <w:numId w:val="43"/>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rsidR="00E27CB9" w:rsidRDefault="00E27CB9" w:rsidP="00E27CB9">
            <w:pPr>
              <w:pStyle w:val="ListParagraph"/>
              <w:numPr>
                <w:ilvl w:val="0"/>
                <w:numId w:val="43"/>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rsidR="00E27CB9" w:rsidRDefault="00E27CB9" w:rsidP="00E27CB9">
            <w:pPr>
              <w:pStyle w:val="ListParagraph"/>
              <w:numPr>
                <w:ilvl w:val="0"/>
                <w:numId w:val="43"/>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rsidR="00E27CB9" w:rsidRDefault="00E27CB9" w:rsidP="00E27CB9">
            <w:pPr>
              <w:pStyle w:val="ListParagraph"/>
              <w:numPr>
                <w:ilvl w:val="0"/>
                <w:numId w:val="43"/>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rsidR="00E27CB9" w:rsidRDefault="00E27CB9" w:rsidP="00E27CB9">
            <w:pPr>
              <w:pStyle w:val="ListParagraph"/>
              <w:numPr>
                <w:ilvl w:val="0"/>
                <w:numId w:val="43"/>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rsidR="00C10C01" w:rsidRPr="00927D54" w:rsidRDefault="00C10C01" w:rsidP="00927D54">
            <w:pPr>
              <w:pStyle w:val="ListParagraph"/>
              <w:numPr>
                <w:ilvl w:val="0"/>
                <w:numId w:val="19"/>
              </w:numPr>
              <w:spacing w:after="0"/>
              <w:jc w:val="both"/>
              <w:rPr>
                <w:rFonts w:ascii="Arial" w:eastAsia="Times New Roman" w:hAnsi="Arial" w:cs="Arial"/>
                <w:bCs/>
                <w:sz w:val="24"/>
                <w:szCs w:val="24"/>
                <w:lang w:val="en-GB"/>
              </w:rPr>
            </w:pP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E67A62" w:rsidRDefault="00E67A62" w:rsidP="00612C60">
      <w:pPr>
        <w:widowControl w:val="0"/>
        <w:tabs>
          <w:tab w:val="left" w:pos="567"/>
        </w:tabs>
        <w:spacing w:after="0" w:line="240" w:lineRule="auto"/>
        <w:jc w:val="both"/>
        <w:rPr>
          <w:rFonts w:ascii="Arial" w:eastAsia="Times New Roman" w:hAnsi="Arial" w:cs="Arial"/>
          <w:sz w:val="24"/>
          <w:szCs w:val="24"/>
          <w:lang w:val="en-US"/>
        </w:rPr>
      </w:pPr>
      <w:bookmarkStart w:id="0" w:name="_GoBack"/>
      <w:bookmarkEnd w:id="0"/>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8D3" w:rsidRDefault="008D78D3" w:rsidP="004F4EE3">
      <w:pPr>
        <w:spacing w:after="0" w:line="240" w:lineRule="auto"/>
      </w:pPr>
      <w:r>
        <w:separator/>
      </w:r>
    </w:p>
  </w:endnote>
  <w:endnote w:type="continuationSeparator" w:id="0">
    <w:p w:rsidR="008D78D3" w:rsidRDefault="008D78D3"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8D3" w:rsidRDefault="008D78D3" w:rsidP="004F4EE3">
      <w:pPr>
        <w:spacing w:after="0" w:line="240" w:lineRule="auto"/>
      </w:pPr>
      <w:r>
        <w:separator/>
      </w:r>
    </w:p>
  </w:footnote>
  <w:footnote w:type="continuationSeparator" w:id="0">
    <w:p w:rsidR="008D78D3" w:rsidRDefault="008D78D3"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4"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0"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9"/>
  </w:num>
  <w:num w:numId="4">
    <w:abstractNumId w:val="40"/>
  </w:num>
  <w:num w:numId="5">
    <w:abstractNumId w:val="36"/>
  </w:num>
  <w:num w:numId="6">
    <w:abstractNumId w:val="8"/>
  </w:num>
  <w:num w:numId="7">
    <w:abstractNumId w:val="21"/>
  </w:num>
  <w:num w:numId="8">
    <w:abstractNumId w:val="16"/>
  </w:num>
  <w:num w:numId="9">
    <w:abstractNumId w:val="22"/>
  </w:num>
  <w:num w:numId="10">
    <w:abstractNumId w:val="24"/>
  </w:num>
  <w:num w:numId="11">
    <w:abstractNumId w:val="39"/>
  </w:num>
  <w:num w:numId="12">
    <w:abstractNumId w:val="26"/>
  </w:num>
  <w:num w:numId="13">
    <w:abstractNumId w:val="6"/>
  </w:num>
  <w:num w:numId="14">
    <w:abstractNumId w:val="29"/>
  </w:num>
  <w:num w:numId="15">
    <w:abstractNumId w:val="25"/>
  </w:num>
  <w:num w:numId="16">
    <w:abstractNumId w:val="23"/>
  </w:num>
  <w:num w:numId="17">
    <w:abstractNumId w:val="38"/>
  </w:num>
  <w:num w:numId="18">
    <w:abstractNumId w:val="30"/>
  </w:num>
  <w:num w:numId="19">
    <w:abstractNumId w:val="17"/>
  </w:num>
  <w:num w:numId="20">
    <w:abstractNumId w:val="13"/>
  </w:num>
  <w:num w:numId="21">
    <w:abstractNumId w:val="18"/>
  </w:num>
  <w:num w:numId="22">
    <w:abstractNumId w:val="3"/>
  </w:num>
  <w:num w:numId="23">
    <w:abstractNumId w:val="4"/>
  </w:num>
  <w:num w:numId="24">
    <w:abstractNumId w:val="2"/>
  </w:num>
  <w:num w:numId="25">
    <w:abstractNumId w:val="15"/>
  </w:num>
  <w:num w:numId="26">
    <w:abstractNumId w:val="11"/>
  </w:num>
  <w:num w:numId="27">
    <w:abstractNumId w:val="37"/>
  </w:num>
  <w:num w:numId="28">
    <w:abstractNumId w:val="31"/>
  </w:num>
  <w:num w:numId="29">
    <w:abstractNumId w:val="12"/>
  </w:num>
  <w:num w:numId="30">
    <w:abstractNumId w:val="7"/>
  </w:num>
  <w:num w:numId="31">
    <w:abstractNumId w:val="35"/>
  </w:num>
  <w:num w:numId="32">
    <w:abstractNumId w:val="10"/>
  </w:num>
  <w:num w:numId="33">
    <w:abstractNumId w:val="14"/>
  </w:num>
  <w:num w:numId="34">
    <w:abstractNumId w:val="1"/>
  </w:num>
  <w:num w:numId="35">
    <w:abstractNumId w:val="20"/>
  </w:num>
  <w:num w:numId="36">
    <w:abstractNumId w:val="27"/>
  </w:num>
  <w:num w:numId="37">
    <w:abstractNumId w:val="32"/>
  </w:num>
  <w:num w:numId="38">
    <w:abstractNumId w:val="25"/>
  </w:num>
  <w:num w:numId="39">
    <w:abstractNumId w:val="9"/>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 w:numId="42">
    <w:abstractNumId w:val="34"/>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17BC4"/>
    <w:rsid w:val="000403B9"/>
    <w:rsid w:val="0006297F"/>
    <w:rsid w:val="00091313"/>
    <w:rsid w:val="000A222A"/>
    <w:rsid w:val="000A41BE"/>
    <w:rsid w:val="000B6312"/>
    <w:rsid w:val="000D0EF7"/>
    <w:rsid w:val="000D400B"/>
    <w:rsid w:val="000D758A"/>
    <w:rsid w:val="001066F4"/>
    <w:rsid w:val="0011642D"/>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218C"/>
    <w:rsid w:val="002F309F"/>
    <w:rsid w:val="00324F94"/>
    <w:rsid w:val="003253F6"/>
    <w:rsid w:val="0033185D"/>
    <w:rsid w:val="003326AD"/>
    <w:rsid w:val="00345C11"/>
    <w:rsid w:val="0034690E"/>
    <w:rsid w:val="0035184F"/>
    <w:rsid w:val="003A40B2"/>
    <w:rsid w:val="003A46EA"/>
    <w:rsid w:val="003A6199"/>
    <w:rsid w:val="003A7124"/>
    <w:rsid w:val="003B156E"/>
    <w:rsid w:val="003D2437"/>
    <w:rsid w:val="004041BC"/>
    <w:rsid w:val="004122B7"/>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50DC9"/>
    <w:rsid w:val="0066164F"/>
    <w:rsid w:val="006B3FAD"/>
    <w:rsid w:val="006B74F9"/>
    <w:rsid w:val="006C4EE2"/>
    <w:rsid w:val="006F265C"/>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D78D3"/>
    <w:rsid w:val="008E47C0"/>
    <w:rsid w:val="008E709A"/>
    <w:rsid w:val="0091545C"/>
    <w:rsid w:val="00917A56"/>
    <w:rsid w:val="00927D54"/>
    <w:rsid w:val="0094242D"/>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930A0"/>
    <w:rsid w:val="00AA7BC6"/>
    <w:rsid w:val="00AB2555"/>
    <w:rsid w:val="00AB2E10"/>
    <w:rsid w:val="00AD13DA"/>
    <w:rsid w:val="00AD2D0C"/>
    <w:rsid w:val="00AE5BDA"/>
    <w:rsid w:val="00B146E7"/>
    <w:rsid w:val="00B33C9E"/>
    <w:rsid w:val="00B33F5C"/>
    <w:rsid w:val="00B5550A"/>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51337"/>
    <w:rsid w:val="00C6099B"/>
    <w:rsid w:val="00C868E1"/>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E27CB9"/>
    <w:rsid w:val="00E44F67"/>
    <w:rsid w:val="00E458FD"/>
    <w:rsid w:val="00E67A62"/>
    <w:rsid w:val="00E743B7"/>
    <w:rsid w:val="00E9234B"/>
    <w:rsid w:val="00EB51A6"/>
    <w:rsid w:val="00EF42D7"/>
    <w:rsid w:val="00EF4688"/>
    <w:rsid w:val="00EF7FCB"/>
    <w:rsid w:val="00F1691A"/>
    <w:rsid w:val="00F16DD5"/>
    <w:rsid w:val="00F65C10"/>
    <w:rsid w:val="00F72AC6"/>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8C3C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 w:type="character" w:customStyle="1" w:styleId="ListParagraphChar">
    <w:name w:val="List Paragraph Char"/>
    <w:aliases w:val="Standard Bulleted List Char"/>
    <w:link w:val="ListParagraph"/>
    <w:uiPriority w:val="34"/>
    <w:locked/>
    <w:rsid w:val="00E27C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B48D7-090C-49A6-8D0C-EE10F518F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6</cp:revision>
  <cp:lastPrinted>2015-10-13T07:09:00Z</cp:lastPrinted>
  <dcterms:created xsi:type="dcterms:W3CDTF">2019-11-20T13:17:00Z</dcterms:created>
  <dcterms:modified xsi:type="dcterms:W3CDTF">2019-11-25T09:48:00Z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