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12368CFE"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r w:rsidR="00C100C2">
              <w:rPr>
                <w:rFonts w:ascii="Arial" w:eastAsia="Arial" w:hAnsi="Arial" w:cs="Arial"/>
                <w:color w:val="000000"/>
                <w:sz w:val="24"/>
                <w:lang w:eastAsia="en-ZA"/>
              </w:rPr>
              <w:t xml:space="preserve">: EMIS, </w:t>
            </w:r>
            <w:r w:rsidR="00C100C2" w:rsidRPr="00C100C2">
              <w:rPr>
                <w:rFonts w:ascii="Arial" w:eastAsia="Arial" w:hAnsi="Arial" w:cs="Arial"/>
                <w:color w:val="000000"/>
                <w:sz w:val="24"/>
                <w:lang w:eastAsia="en-ZA"/>
              </w:rPr>
              <w:t>GOVERNANCE AND SPECIAL PROGRAMMES</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6BE2CF1B" w:rsidR="00612C60" w:rsidRPr="00612C60" w:rsidRDefault="00C100C2" w:rsidP="00F03285">
            <w:pPr>
              <w:spacing w:after="0" w:line="240" w:lineRule="auto"/>
              <w:rPr>
                <w:rFonts w:ascii="Arial" w:eastAsia="Times New Roman" w:hAnsi="Arial" w:cs="Arial"/>
                <w:sz w:val="24"/>
                <w:szCs w:val="24"/>
              </w:rPr>
            </w:pPr>
            <w:r>
              <w:rPr>
                <w:rFonts w:ascii="Arial" w:eastAsia="Times New Roman" w:hAnsi="Arial" w:cs="Arial"/>
                <w:sz w:val="24"/>
                <w:szCs w:val="24"/>
              </w:rPr>
              <w:t xml:space="preserve">EMIS, </w:t>
            </w:r>
            <w:r w:rsidRPr="00C100C2">
              <w:rPr>
                <w:rFonts w:ascii="Arial" w:eastAsia="Times New Roman" w:hAnsi="Arial" w:cs="Arial"/>
                <w:sz w:val="24"/>
                <w:szCs w:val="24"/>
              </w:rPr>
              <w:t>GOVERNANCE AND SPECIAL PROGRAMMES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CE0897C" w:rsidR="00612C60" w:rsidRPr="00612C60" w:rsidRDefault="00C100C2"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SES: </w:t>
            </w:r>
            <w:r w:rsidRPr="00C100C2">
              <w:rPr>
                <w:rFonts w:ascii="Arial" w:eastAsia="Times New Roman" w:hAnsi="Arial" w:cs="Arial"/>
                <w:sz w:val="24"/>
                <w:szCs w:val="24"/>
                <w:lang w:val="en-US"/>
              </w:rPr>
              <w:t>EMIS GOVERNANCE AND SPECIAL PROGRAMMES</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r>
        <w:rPr>
          <w:rFonts w:ascii="Arial" w:hAnsi="Arial" w:cs="Arial"/>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124FD5A4" w:rsidR="002F309F" w:rsidRPr="00612C60" w:rsidRDefault="00C100C2"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SENIOR ADMIN OFFICER</w:t>
            </w:r>
            <w:bookmarkStart w:id="0" w:name="_GoBack"/>
            <w:bookmarkEnd w:id="0"/>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23709" w14:textId="77777777" w:rsidR="0037684A" w:rsidRDefault="0037684A" w:rsidP="004F4EE3">
      <w:pPr>
        <w:spacing w:after="0" w:line="240" w:lineRule="auto"/>
      </w:pPr>
      <w:r>
        <w:separator/>
      </w:r>
    </w:p>
  </w:endnote>
  <w:endnote w:type="continuationSeparator" w:id="0">
    <w:p w14:paraId="0BD14BF4" w14:textId="77777777" w:rsidR="0037684A" w:rsidRDefault="0037684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6D68E" w14:textId="77777777" w:rsidR="0037684A" w:rsidRDefault="0037684A" w:rsidP="004F4EE3">
      <w:pPr>
        <w:spacing w:after="0" w:line="240" w:lineRule="auto"/>
      </w:pPr>
      <w:r>
        <w:separator/>
      </w:r>
    </w:p>
  </w:footnote>
  <w:footnote w:type="continuationSeparator" w:id="0">
    <w:p w14:paraId="732504E8" w14:textId="77777777" w:rsidR="0037684A" w:rsidRDefault="0037684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C85"/>
    <w:rsid w:val="003253F6"/>
    <w:rsid w:val="003326AD"/>
    <w:rsid w:val="0034690E"/>
    <w:rsid w:val="0035184F"/>
    <w:rsid w:val="003670C2"/>
    <w:rsid w:val="0037684A"/>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0C2"/>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ED5CF-04CF-4ACD-B045-7796AF44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2019-12-03T08:04:00Z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