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DE3D52">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496F8C">
              <w:rPr>
                <w:rFonts w:ascii="Arial" w:eastAsia="Times New Roman" w:hAnsi="Arial" w:cs="Arial"/>
                <w:sz w:val="24"/>
                <w:szCs w:val="24"/>
                <w:lang w:val="en-GB"/>
              </w:rPr>
              <w:t>FINANCIAL COMPLIANCE (DISTRICT)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w:t>
            </w:r>
            <w:bookmarkStart w:id="0" w:name="_GoBack"/>
            <w:bookmarkEnd w:id="0"/>
            <w:r>
              <w:rPr>
                <w:rFonts w:ascii="Arial" w:eastAsia="Times New Roman" w:hAnsi="Arial" w:cs="Arial"/>
                <w:sz w:val="24"/>
                <w:szCs w:val="24"/>
                <w:lang w:val="en-US"/>
              </w:rPr>
              <w:t>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674D06"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FINANCIAL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496F8C" w:rsidRDefault="00AD13DA" w:rsidP="00674D06">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DEPUTY</w:t>
            </w:r>
            <w:r w:rsidR="00496F8C">
              <w:rPr>
                <w:rFonts w:ascii="Arial" w:eastAsia="Times New Roman" w:hAnsi="Arial" w:cs="Arial"/>
                <w:sz w:val="24"/>
                <w:szCs w:val="24"/>
                <w:lang w:val="en-US"/>
              </w:rPr>
              <w:t xml:space="preserve"> DIERCTOR: </w:t>
            </w:r>
            <w:r w:rsidR="00674D06">
              <w:rPr>
                <w:rFonts w:ascii="Arial" w:eastAsia="Times New Roman" w:hAnsi="Arial" w:cs="Arial"/>
                <w:sz w:val="24"/>
                <w:szCs w:val="24"/>
                <w:lang w:val="en-GB"/>
              </w:rPr>
              <w:t>FINANCIAL MANAGEMENT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Default="00612C60" w:rsidP="00612C60">
      <w:pPr>
        <w:widowControl w:val="0"/>
        <w:spacing w:after="0" w:line="240" w:lineRule="auto"/>
        <w:rPr>
          <w:rFonts w:ascii="Arial" w:eastAsia="Times New Roman" w:hAnsi="Arial" w:cs="Arial"/>
          <w:sz w:val="24"/>
          <w:szCs w:val="24"/>
          <w:lang w:val="en-US"/>
        </w:rPr>
      </w:pPr>
    </w:p>
    <w:p w:rsidR="00592B5D" w:rsidRPr="00DE3D52" w:rsidRDefault="00DE3D52" w:rsidP="00DE3D52">
      <w:pPr>
        <w:widowControl w:val="0"/>
        <w:spacing w:after="0" w:line="240" w:lineRule="auto"/>
        <w:rPr>
          <w:rFonts w:ascii="Arial" w:eastAsia="Times New Roman" w:hAnsi="Arial" w:cs="Arial"/>
          <w:b/>
          <w:sz w:val="24"/>
          <w:szCs w:val="24"/>
          <w:lang w:val="en-US"/>
        </w:rPr>
      </w:pPr>
      <w:r w:rsidRPr="00DE3D52">
        <w:rPr>
          <w:rFonts w:ascii="Arial" w:hAnsi="Arial" w:cs="Arial"/>
          <w:b/>
          <w:color w:val="000000"/>
          <w:sz w:val="24"/>
          <w:szCs w:val="24"/>
        </w:rPr>
        <w:t>To provide financial compliance, internal control and pre-audit services.</w:t>
      </w:r>
    </w:p>
    <w:p w:rsidR="00DE3D52" w:rsidRPr="00612C60" w:rsidRDefault="00DE3D52"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DE3D52" w:rsidRPr="00DE3D52" w:rsidRDefault="00DE3D52" w:rsidP="00DE3D52">
            <w:pPr>
              <w:numPr>
                <w:ilvl w:val="0"/>
                <w:numId w:val="41"/>
              </w:numPr>
              <w:autoSpaceDE w:val="0"/>
              <w:autoSpaceDN w:val="0"/>
              <w:adjustRightInd w:val="0"/>
              <w:spacing w:after="0" w:line="288" w:lineRule="auto"/>
              <w:ind w:left="142" w:hanging="142"/>
              <w:rPr>
                <w:rFonts w:ascii="Arial" w:hAnsi="Arial" w:cs="Arial"/>
                <w:color w:val="000000"/>
                <w:sz w:val="24"/>
                <w:szCs w:val="24"/>
              </w:rPr>
            </w:pPr>
            <w:r w:rsidRPr="00DE3D52">
              <w:rPr>
                <w:rFonts w:ascii="Arial" w:hAnsi="Arial" w:cs="Arial"/>
                <w:color w:val="000000"/>
                <w:sz w:val="24"/>
                <w:szCs w:val="24"/>
              </w:rPr>
              <w:t>Implement departmental internal control policy frameworks and instruments</w:t>
            </w:r>
          </w:p>
          <w:p w:rsidR="00DE3D52" w:rsidRPr="00DE3D52" w:rsidRDefault="00DE3D52" w:rsidP="00DE3D52">
            <w:pPr>
              <w:numPr>
                <w:ilvl w:val="0"/>
                <w:numId w:val="41"/>
              </w:numPr>
              <w:autoSpaceDE w:val="0"/>
              <w:autoSpaceDN w:val="0"/>
              <w:adjustRightInd w:val="0"/>
              <w:spacing w:after="0" w:line="288" w:lineRule="auto"/>
              <w:ind w:left="142" w:hanging="142"/>
              <w:rPr>
                <w:rFonts w:ascii="Arial" w:hAnsi="Arial" w:cs="Arial"/>
                <w:color w:val="000000"/>
                <w:sz w:val="24"/>
                <w:szCs w:val="24"/>
              </w:rPr>
            </w:pPr>
            <w:r w:rsidRPr="00DE3D52">
              <w:rPr>
                <w:rFonts w:ascii="Arial" w:hAnsi="Arial" w:cs="Arial"/>
                <w:color w:val="000000"/>
                <w:sz w:val="24"/>
                <w:szCs w:val="24"/>
              </w:rPr>
              <w:t>Implement financial oversight mechanisms for Section 21 Schools and Independent Schools.</w:t>
            </w:r>
          </w:p>
          <w:p w:rsidR="00DE3D52" w:rsidRDefault="00DE3D52" w:rsidP="00DE3D52">
            <w:pPr>
              <w:numPr>
                <w:ilvl w:val="0"/>
                <w:numId w:val="41"/>
              </w:numPr>
              <w:autoSpaceDE w:val="0"/>
              <w:autoSpaceDN w:val="0"/>
              <w:adjustRightInd w:val="0"/>
              <w:spacing w:after="0" w:line="288" w:lineRule="auto"/>
              <w:ind w:left="142" w:hanging="142"/>
              <w:rPr>
                <w:rFonts w:ascii="Arial" w:hAnsi="Arial" w:cs="Arial"/>
                <w:color w:val="000000"/>
                <w:sz w:val="24"/>
                <w:szCs w:val="24"/>
              </w:rPr>
            </w:pPr>
            <w:r w:rsidRPr="00DE3D52">
              <w:rPr>
                <w:rFonts w:ascii="Arial" w:hAnsi="Arial" w:cs="Arial"/>
                <w:color w:val="000000"/>
                <w:sz w:val="24"/>
                <w:szCs w:val="24"/>
              </w:rPr>
              <w:t>Render pre-audit services for expenditure transactions.</w:t>
            </w:r>
          </w:p>
          <w:p w:rsidR="009D10EF" w:rsidRPr="00DE3D52" w:rsidRDefault="00DE3D52" w:rsidP="00DE3D52">
            <w:pPr>
              <w:numPr>
                <w:ilvl w:val="0"/>
                <w:numId w:val="41"/>
              </w:numPr>
              <w:autoSpaceDE w:val="0"/>
              <w:autoSpaceDN w:val="0"/>
              <w:adjustRightInd w:val="0"/>
              <w:spacing w:after="0" w:line="288" w:lineRule="auto"/>
              <w:ind w:left="142" w:hanging="142"/>
              <w:rPr>
                <w:rFonts w:ascii="Arial" w:hAnsi="Arial" w:cs="Arial"/>
                <w:color w:val="000000"/>
                <w:sz w:val="24"/>
                <w:szCs w:val="24"/>
              </w:rPr>
            </w:pPr>
            <w:r w:rsidRPr="00DE3D52">
              <w:rPr>
                <w:rFonts w:ascii="Arial" w:hAnsi="Arial" w:cs="Arial"/>
                <w:color w:val="000000"/>
                <w:sz w:val="24"/>
                <w:szCs w:val="24"/>
              </w:rPr>
              <w:t>Provide financial loss and fraud prevention services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674D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091" w:rsidRDefault="00D92091" w:rsidP="004F4EE3">
      <w:pPr>
        <w:spacing w:after="0" w:line="240" w:lineRule="auto"/>
      </w:pPr>
      <w:r>
        <w:separator/>
      </w:r>
    </w:p>
  </w:endnote>
  <w:endnote w:type="continuationSeparator" w:id="0">
    <w:p w:rsidR="00D92091" w:rsidRDefault="00D9209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091" w:rsidRDefault="00D92091" w:rsidP="004F4EE3">
      <w:pPr>
        <w:spacing w:after="0" w:line="240" w:lineRule="auto"/>
      </w:pPr>
      <w:r>
        <w:separator/>
      </w:r>
    </w:p>
  </w:footnote>
  <w:footnote w:type="continuationSeparator" w:id="0">
    <w:p w:rsidR="00D92091" w:rsidRDefault="00D9209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3364"/>
    <w:rsid w:val="00436D9D"/>
    <w:rsid w:val="00444205"/>
    <w:rsid w:val="004443F4"/>
    <w:rsid w:val="0046747C"/>
    <w:rsid w:val="004762A0"/>
    <w:rsid w:val="0049400E"/>
    <w:rsid w:val="0049646D"/>
    <w:rsid w:val="00496F8C"/>
    <w:rsid w:val="004979EB"/>
    <w:rsid w:val="004E3ADB"/>
    <w:rsid w:val="004F4EE3"/>
    <w:rsid w:val="005201A8"/>
    <w:rsid w:val="00542FC3"/>
    <w:rsid w:val="00551306"/>
    <w:rsid w:val="005554AB"/>
    <w:rsid w:val="00585800"/>
    <w:rsid w:val="00592B5D"/>
    <w:rsid w:val="0059389E"/>
    <w:rsid w:val="005B2CD4"/>
    <w:rsid w:val="005C4418"/>
    <w:rsid w:val="00612C60"/>
    <w:rsid w:val="006261B2"/>
    <w:rsid w:val="00626883"/>
    <w:rsid w:val="00634FD8"/>
    <w:rsid w:val="00650DC9"/>
    <w:rsid w:val="0066164F"/>
    <w:rsid w:val="00674D06"/>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65733"/>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52C8E"/>
    <w:rsid w:val="00D76F06"/>
    <w:rsid w:val="00D9029C"/>
    <w:rsid w:val="00D92091"/>
    <w:rsid w:val="00DA071E"/>
    <w:rsid w:val="00DA252E"/>
    <w:rsid w:val="00DB1E94"/>
    <w:rsid w:val="00DC60B8"/>
    <w:rsid w:val="00DE3D52"/>
    <w:rsid w:val="00E44F67"/>
    <w:rsid w:val="00E458FD"/>
    <w:rsid w:val="00E743B7"/>
    <w:rsid w:val="00E9234B"/>
    <w:rsid w:val="00EB51A6"/>
    <w:rsid w:val="00EF42D7"/>
    <w:rsid w:val="00EF4688"/>
    <w:rsid w:val="00EF7FCB"/>
    <w:rsid w:val="00F1691A"/>
    <w:rsid w:val="00F16DD5"/>
    <w:rsid w:val="00F65C10"/>
    <w:rsid w:val="00FA5994"/>
    <w:rsid w:val="00FD7310"/>
    <w:rsid w:val="00FF41B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7C1E6"/>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8938D-0F01-4F7A-BAFE-2E0E62DB8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2018-07-20T07:25:00Z</dcterms:created>
  <dcterms:modified xsi:type="dcterms:W3CDTF">2019-12-04T08:16:00Z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