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DDDBA9D" w:rsidR="0053144F" w:rsidRDefault="003F625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4B528B">
              <w:rPr>
                <w:rFonts w:ascii="Arial" w:hAnsi="Arial" w:cs="Arial"/>
                <w:sz w:val="20"/>
                <w:szCs w:val="20"/>
              </w:rPr>
              <w:t>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5F523414" w:rsidR="003121F0" w:rsidRDefault="003F625F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String and date manipulation </w:t>
            </w:r>
            <w:r w:rsidR="007E2151">
              <w:rPr>
                <w:rFonts w:asciiTheme="minorHAnsi" w:hAnsiTheme="minorHAnsi"/>
                <w:b w:val="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DF2811">
              <w:rPr>
                <w:rFonts w:asciiTheme="minorHAnsi" w:hAnsiTheme="minorHAnsi"/>
                <w:b w:val="0"/>
                <w:sz w:val="20"/>
                <w:szCs w:val="20"/>
              </w:rPr>
              <w:t>Consolidation Exercise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1F45C0BE" w14:textId="77F7600B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E63177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7E2151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 w:rsidR="007E2151">
              <w:rPr>
                <w:rFonts w:cstheme="minorHAnsi"/>
                <w:sz w:val="20"/>
                <w:szCs w:val="20"/>
              </w:rPr>
              <w:t xml:space="preserve"> Chapter</w:t>
            </w:r>
            <w:r w:rsidR="00E63177">
              <w:rPr>
                <w:rFonts w:cstheme="minorHAnsi"/>
                <w:sz w:val="20"/>
                <w:szCs w:val="20"/>
              </w:rPr>
              <w:t xml:space="preserve"> 4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24F8F7B" w14:textId="77777777" w:rsidR="00EC096C" w:rsidRPr="00DC161D" w:rsidRDefault="00EC096C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56EEB5D5" w14:textId="3FBB99B7" w:rsidR="00F14191" w:rsidRDefault="00EF5403" w:rsidP="00165A5F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B326E">
              <w:rPr>
                <w:sz w:val="20"/>
                <w:szCs w:val="20"/>
              </w:rPr>
              <w:t>ElectricityAcc_p</w:t>
            </w:r>
            <w:proofErr w:type="spellEnd"/>
            <w:r w:rsidRPr="002B326E">
              <w:rPr>
                <w:sz w:val="20"/>
                <w:szCs w:val="20"/>
              </w:rPr>
              <w:t xml:space="preserve"> project </w:t>
            </w:r>
            <w:r w:rsidR="00F14191">
              <w:rPr>
                <w:b w:val="0"/>
                <w:bCs w:val="0"/>
                <w:sz w:val="20"/>
                <w:szCs w:val="20"/>
              </w:rPr>
              <w:t>below</w:t>
            </w:r>
            <w:r w:rsidR="00165A5F" w:rsidRPr="008873B8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1AF3B97A" w14:textId="596D2D95" w:rsidR="00EF5403" w:rsidRDefault="00BD1CE5" w:rsidP="00165A5F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object w:dxaOrig="1543" w:dyaOrig="991" w14:anchorId="4C7A91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48889998" r:id="rId10"/>
              </w:object>
            </w:r>
            <w:r>
              <w:rPr>
                <w:b w:val="0"/>
                <w:bCs w:val="0"/>
                <w:sz w:val="20"/>
                <w:szCs w:val="20"/>
              </w:rPr>
              <w:object w:dxaOrig="1543" w:dyaOrig="991" w14:anchorId="1DB617E8">
                <v:shape id="_x0000_i1026" type="#_x0000_t75" style="width:77.25pt;height:49.5pt" o:ole="">
                  <v:imagedata r:id="rId11" o:title=""/>
                </v:shape>
                <o:OLEObject Type="Embed" ProgID="Package" ShapeID="_x0000_i1026" DrawAspect="Icon" ObjectID="_1648889999" r:id="rId12"/>
              </w:object>
            </w:r>
            <w:r>
              <w:rPr>
                <w:b w:val="0"/>
                <w:bCs w:val="0"/>
                <w:sz w:val="20"/>
                <w:szCs w:val="20"/>
              </w:rPr>
              <w:object w:dxaOrig="1543" w:dyaOrig="991" w14:anchorId="752E6677">
                <v:shape id="_x0000_i1027" type="#_x0000_t75" style="width:77.25pt;height:49.5pt" o:ole="">
                  <v:imagedata r:id="rId13" o:title=""/>
                </v:shape>
                <o:OLEObject Type="Embed" ProgID="Package" ShapeID="_x0000_i1027" DrawAspect="Icon" ObjectID="_1648890000" r:id="rId14"/>
              </w:object>
            </w:r>
          </w:p>
          <w:p w14:paraId="294EFA4F" w14:textId="63490CAF" w:rsidR="002B326E" w:rsidRPr="00BD1CE5" w:rsidRDefault="002B326E" w:rsidP="002B326E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D1CE5">
              <w:rPr>
                <w:b w:val="0"/>
                <w:bCs w:val="0"/>
                <w:sz w:val="20"/>
                <w:szCs w:val="20"/>
              </w:rPr>
              <w:t>The town electricity account control department requires help in calculating arrears interest on outstanding</w:t>
            </w:r>
            <w:r w:rsidR="00EF5403" w:rsidRPr="00BD1CE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D1CE5">
              <w:rPr>
                <w:b w:val="0"/>
                <w:bCs w:val="0"/>
                <w:sz w:val="20"/>
                <w:szCs w:val="20"/>
              </w:rPr>
              <w:t>payments. Arrears interest is calculated daily and added to the outstanding amount owing. In terms of their</w:t>
            </w:r>
            <w:r w:rsidR="00EF5403" w:rsidRPr="00BD1CE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D1CE5">
              <w:rPr>
                <w:b w:val="0"/>
                <w:bCs w:val="0"/>
                <w:sz w:val="20"/>
                <w:szCs w:val="20"/>
              </w:rPr>
              <w:t>policy, arrears interest is calculated per day as follows:</w:t>
            </w:r>
          </w:p>
          <w:tbl>
            <w:tblPr>
              <w:tblStyle w:val="TableGrid"/>
              <w:tblW w:w="0" w:type="auto"/>
              <w:tblInd w:w="1774" w:type="dxa"/>
              <w:tblLook w:val="04A0" w:firstRow="1" w:lastRow="0" w:firstColumn="1" w:lastColumn="0" w:noHBand="0" w:noVBand="1"/>
            </w:tblPr>
            <w:tblGrid>
              <w:gridCol w:w="993"/>
              <w:gridCol w:w="2976"/>
            </w:tblGrid>
            <w:tr w:rsidR="00C737F7" w14:paraId="71CB3811" w14:textId="77777777" w:rsidTr="00D33966">
              <w:tc>
                <w:tcPr>
                  <w:tcW w:w="993" w:type="dxa"/>
                </w:tcPr>
                <w:p w14:paraId="216ED3A1" w14:textId="497AB0E7" w:rsidR="00C737F7" w:rsidRDefault="00C737F7" w:rsidP="002B326E">
                  <w:pPr>
                    <w:pStyle w:val="VOORSubhead1"/>
                    <w:spacing w:line="240" w:lineRule="auto"/>
                    <w:rPr>
                      <w:sz w:val="20"/>
                      <w:szCs w:val="20"/>
                    </w:rPr>
                  </w:pPr>
                  <w:r w:rsidRPr="002B326E">
                    <w:rPr>
                      <w:sz w:val="20"/>
                      <w:szCs w:val="20"/>
                    </w:rPr>
                    <w:t>DAYS</w:t>
                  </w:r>
                </w:p>
              </w:tc>
              <w:tc>
                <w:tcPr>
                  <w:tcW w:w="2976" w:type="dxa"/>
                </w:tcPr>
                <w:p w14:paraId="33B99664" w14:textId="4B22DA7A" w:rsidR="00C737F7" w:rsidRDefault="00C737F7" w:rsidP="002B326E">
                  <w:pPr>
                    <w:pStyle w:val="VOORSubhead1"/>
                    <w:spacing w:line="240" w:lineRule="auto"/>
                    <w:rPr>
                      <w:sz w:val="20"/>
                      <w:szCs w:val="20"/>
                    </w:rPr>
                  </w:pPr>
                  <w:r w:rsidRPr="002B326E">
                    <w:rPr>
                      <w:sz w:val="20"/>
                      <w:szCs w:val="20"/>
                    </w:rPr>
                    <w:t>ARREARS INTEREST % PER DAY</w:t>
                  </w:r>
                </w:p>
              </w:tc>
            </w:tr>
            <w:tr w:rsidR="00C737F7" w14:paraId="7791DC45" w14:textId="77777777" w:rsidTr="00D33966">
              <w:tc>
                <w:tcPr>
                  <w:tcW w:w="993" w:type="dxa"/>
                </w:tcPr>
                <w:p w14:paraId="1C32D7CB" w14:textId="6A2C9ECA" w:rsidR="00C737F7" w:rsidRPr="00BD1CE5" w:rsidRDefault="00C737F7" w:rsidP="002B326E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D1CE5">
                    <w:rPr>
                      <w:b w:val="0"/>
                      <w:bCs w:val="0"/>
                      <w:sz w:val="20"/>
                      <w:szCs w:val="20"/>
                    </w:rPr>
                    <w:t>1 – 7</w:t>
                  </w:r>
                </w:p>
              </w:tc>
              <w:tc>
                <w:tcPr>
                  <w:tcW w:w="2976" w:type="dxa"/>
                </w:tcPr>
                <w:p w14:paraId="658D44B6" w14:textId="13636A8C" w:rsidR="00C737F7" w:rsidRPr="00BD1CE5" w:rsidRDefault="00C737F7" w:rsidP="002B326E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D1CE5">
                    <w:rPr>
                      <w:b w:val="0"/>
                      <w:bCs w:val="0"/>
                      <w:sz w:val="20"/>
                      <w:szCs w:val="20"/>
                    </w:rPr>
                    <w:t>1%</w:t>
                  </w:r>
                </w:p>
              </w:tc>
            </w:tr>
            <w:tr w:rsidR="00C737F7" w14:paraId="36A66DC4" w14:textId="77777777" w:rsidTr="00D33966">
              <w:tc>
                <w:tcPr>
                  <w:tcW w:w="993" w:type="dxa"/>
                </w:tcPr>
                <w:p w14:paraId="31BC4152" w14:textId="39D32DB1" w:rsidR="00C737F7" w:rsidRPr="00BD1CE5" w:rsidRDefault="00C737F7" w:rsidP="002B326E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D1CE5">
                    <w:rPr>
                      <w:b w:val="0"/>
                      <w:bCs w:val="0"/>
                      <w:sz w:val="20"/>
                      <w:szCs w:val="20"/>
                    </w:rPr>
                    <w:t>8 – 14</w:t>
                  </w:r>
                </w:p>
              </w:tc>
              <w:tc>
                <w:tcPr>
                  <w:tcW w:w="2976" w:type="dxa"/>
                </w:tcPr>
                <w:p w14:paraId="1E22C32E" w14:textId="6B9C3637" w:rsidR="00C737F7" w:rsidRPr="00BD1CE5" w:rsidRDefault="00C737F7" w:rsidP="002B326E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D1CE5">
                    <w:rPr>
                      <w:b w:val="0"/>
                      <w:bCs w:val="0"/>
                      <w:sz w:val="20"/>
                      <w:szCs w:val="20"/>
                    </w:rPr>
                    <w:t>3%</w:t>
                  </w:r>
                </w:p>
              </w:tc>
            </w:tr>
            <w:tr w:rsidR="00C737F7" w14:paraId="1430F3B0" w14:textId="77777777" w:rsidTr="00D33966">
              <w:tc>
                <w:tcPr>
                  <w:tcW w:w="993" w:type="dxa"/>
                </w:tcPr>
                <w:p w14:paraId="29CDB891" w14:textId="74DB9B62" w:rsidR="00C737F7" w:rsidRPr="00BD1CE5" w:rsidRDefault="00C737F7" w:rsidP="002B326E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D1CE5">
                    <w:rPr>
                      <w:b w:val="0"/>
                      <w:bCs w:val="0"/>
                      <w:sz w:val="20"/>
                      <w:szCs w:val="20"/>
                    </w:rPr>
                    <w:t>&gt;14</w:t>
                  </w:r>
                </w:p>
              </w:tc>
              <w:tc>
                <w:tcPr>
                  <w:tcW w:w="2976" w:type="dxa"/>
                </w:tcPr>
                <w:p w14:paraId="542E6DA3" w14:textId="2889BF27" w:rsidR="00C737F7" w:rsidRPr="00BD1CE5" w:rsidRDefault="00C737F7" w:rsidP="002B326E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D1CE5">
                    <w:rPr>
                      <w:b w:val="0"/>
                      <w:bCs w:val="0"/>
                      <w:sz w:val="20"/>
                      <w:szCs w:val="20"/>
                    </w:rPr>
                    <w:t>5%</w:t>
                  </w:r>
                </w:p>
              </w:tc>
            </w:tr>
          </w:tbl>
          <w:p w14:paraId="1F07AD01" w14:textId="77777777" w:rsidR="00C737F7" w:rsidRDefault="00C737F7" w:rsidP="002B326E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  <w:p w14:paraId="6410D27D" w14:textId="600F6619" w:rsidR="00AF2BA9" w:rsidRDefault="002B326E" w:rsidP="002B326E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D1CE5">
              <w:rPr>
                <w:b w:val="0"/>
                <w:bCs w:val="0"/>
                <w:sz w:val="20"/>
                <w:szCs w:val="20"/>
              </w:rPr>
              <w:t xml:space="preserve">Open the </w:t>
            </w:r>
            <w:proofErr w:type="spellStart"/>
            <w:r w:rsidRPr="00BD1CE5">
              <w:rPr>
                <w:b w:val="0"/>
                <w:bCs w:val="0"/>
                <w:sz w:val="20"/>
                <w:szCs w:val="20"/>
              </w:rPr>
              <w:t>ElectricityAcc_p</w:t>
            </w:r>
            <w:proofErr w:type="spellEnd"/>
            <w:r w:rsidRPr="00BD1CE5">
              <w:rPr>
                <w:b w:val="0"/>
                <w:bCs w:val="0"/>
                <w:sz w:val="20"/>
                <w:szCs w:val="20"/>
              </w:rPr>
              <w:t xml:space="preserve"> project </w:t>
            </w:r>
            <w:r w:rsidR="00D33966" w:rsidRPr="00BD1CE5">
              <w:rPr>
                <w:b w:val="0"/>
                <w:bCs w:val="0"/>
                <w:sz w:val="20"/>
                <w:szCs w:val="20"/>
              </w:rPr>
              <w:t xml:space="preserve">embedded above </w:t>
            </w:r>
            <w:r w:rsidRPr="00BD1CE5">
              <w:rPr>
                <w:b w:val="0"/>
                <w:bCs w:val="0"/>
                <w:sz w:val="20"/>
                <w:szCs w:val="20"/>
              </w:rPr>
              <w:t xml:space="preserve"> and write code for the [Process]</w:t>
            </w:r>
            <w:r w:rsidR="00D33966" w:rsidRPr="00BD1CE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D1CE5">
              <w:rPr>
                <w:b w:val="0"/>
                <w:bCs w:val="0"/>
                <w:sz w:val="20"/>
                <w:szCs w:val="20"/>
              </w:rPr>
              <w:t>button to do the following:</w:t>
            </w:r>
          </w:p>
          <w:p w14:paraId="49CCC065" w14:textId="4EFDD16F" w:rsidR="00B52457" w:rsidRDefault="00B52457" w:rsidP="002B326E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3ABFAA16" w14:textId="77777777" w:rsidR="00092817" w:rsidRPr="00092817" w:rsidRDefault="00092817" w:rsidP="00092817">
            <w:pPr>
              <w:pStyle w:val="VOORSubhead1"/>
              <w:spacing w:line="240" w:lineRule="auto"/>
              <w:ind w:left="363"/>
              <w:rPr>
                <w:b w:val="0"/>
                <w:bCs w:val="0"/>
                <w:sz w:val="20"/>
                <w:szCs w:val="20"/>
              </w:rPr>
            </w:pPr>
            <w:r w:rsidRPr="00092817">
              <w:rPr>
                <w:b w:val="0"/>
                <w:bCs w:val="0"/>
                <w:sz w:val="20"/>
                <w:szCs w:val="20"/>
              </w:rPr>
              <w:t xml:space="preserve">a. Read the balance due amount from the </w:t>
            </w:r>
            <w:proofErr w:type="spellStart"/>
            <w:r w:rsidRPr="00092817">
              <w:rPr>
                <w:b w:val="0"/>
                <w:bCs w:val="0"/>
                <w:sz w:val="20"/>
                <w:szCs w:val="20"/>
              </w:rPr>
              <w:t>EditBox</w:t>
            </w:r>
            <w:proofErr w:type="spellEnd"/>
            <w:r w:rsidRPr="00092817">
              <w:rPr>
                <w:b w:val="0"/>
                <w:bCs w:val="0"/>
                <w:sz w:val="20"/>
                <w:szCs w:val="20"/>
              </w:rPr>
              <w:t>.</w:t>
            </w:r>
          </w:p>
          <w:p w14:paraId="65ECED4D" w14:textId="77777777" w:rsidR="00092817" w:rsidRPr="00092817" w:rsidRDefault="00092817" w:rsidP="00092817">
            <w:pPr>
              <w:pStyle w:val="VOORSubhead1"/>
              <w:spacing w:line="240" w:lineRule="auto"/>
              <w:ind w:left="363"/>
              <w:rPr>
                <w:b w:val="0"/>
                <w:bCs w:val="0"/>
                <w:sz w:val="20"/>
                <w:szCs w:val="20"/>
              </w:rPr>
            </w:pPr>
            <w:r w:rsidRPr="00092817">
              <w:rPr>
                <w:b w:val="0"/>
                <w:bCs w:val="0"/>
                <w:sz w:val="20"/>
                <w:szCs w:val="20"/>
              </w:rPr>
              <w:t>b. Select the date from the date picker component of the due date by when the balance due was payable.</w:t>
            </w:r>
          </w:p>
          <w:p w14:paraId="4D587E9C" w14:textId="77777777" w:rsidR="00092817" w:rsidRPr="00092817" w:rsidRDefault="00092817" w:rsidP="00092817">
            <w:pPr>
              <w:pStyle w:val="VOORSubhead1"/>
              <w:spacing w:line="240" w:lineRule="auto"/>
              <w:ind w:left="363"/>
              <w:rPr>
                <w:b w:val="0"/>
                <w:bCs w:val="0"/>
                <w:sz w:val="20"/>
                <w:szCs w:val="20"/>
              </w:rPr>
            </w:pPr>
            <w:r w:rsidRPr="00092817">
              <w:rPr>
                <w:b w:val="0"/>
                <w:bCs w:val="0"/>
                <w:sz w:val="20"/>
                <w:szCs w:val="20"/>
              </w:rPr>
              <w:t>c. Calculate the following:</w:t>
            </w:r>
          </w:p>
          <w:p w14:paraId="56FE0621" w14:textId="77777777" w:rsidR="00092817" w:rsidRPr="00092817" w:rsidRDefault="00092817" w:rsidP="00092817">
            <w:pPr>
              <w:pStyle w:val="VOORSubhead1"/>
              <w:spacing w:line="240" w:lineRule="auto"/>
              <w:ind w:left="788" w:hanging="142"/>
              <w:rPr>
                <w:b w:val="0"/>
                <w:bCs w:val="0"/>
                <w:sz w:val="20"/>
                <w:szCs w:val="20"/>
              </w:rPr>
            </w:pPr>
            <w:r w:rsidRPr="00092817">
              <w:rPr>
                <w:b w:val="0"/>
                <w:bCs w:val="0"/>
                <w:sz w:val="20"/>
                <w:szCs w:val="20"/>
              </w:rPr>
              <w:t>●● number of days payment is overdue as of the current date,</w:t>
            </w:r>
          </w:p>
          <w:p w14:paraId="6A3E098F" w14:textId="77777777" w:rsidR="00092817" w:rsidRPr="00092817" w:rsidRDefault="00092817" w:rsidP="00092817">
            <w:pPr>
              <w:pStyle w:val="VOORSubhead1"/>
              <w:spacing w:line="240" w:lineRule="auto"/>
              <w:ind w:left="788" w:hanging="142"/>
              <w:rPr>
                <w:b w:val="0"/>
                <w:bCs w:val="0"/>
                <w:sz w:val="20"/>
                <w:szCs w:val="20"/>
              </w:rPr>
            </w:pPr>
            <w:r w:rsidRPr="00092817">
              <w:rPr>
                <w:b w:val="0"/>
                <w:bCs w:val="0"/>
                <w:sz w:val="20"/>
                <w:szCs w:val="20"/>
              </w:rPr>
              <w:t>●● total amount owing after arrears interest is added and</w:t>
            </w:r>
          </w:p>
          <w:p w14:paraId="6901B087" w14:textId="77777777" w:rsidR="00092817" w:rsidRPr="00092817" w:rsidRDefault="00092817" w:rsidP="00092817">
            <w:pPr>
              <w:pStyle w:val="VOORSubhead1"/>
              <w:spacing w:line="240" w:lineRule="auto"/>
              <w:ind w:left="788" w:hanging="142"/>
              <w:rPr>
                <w:b w:val="0"/>
                <w:bCs w:val="0"/>
                <w:sz w:val="20"/>
                <w:szCs w:val="20"/>
              </w:rPr>
            </w:pPr>
            <w:r w:rsidRPr="00092817">
              <w:rPr>
                <w:b w:val="0"/>
                <w:bCs w:val="0"/>
                <w:sz w:val="20"/>
                <w:szCs w:val="20"/>
              </w:rPr>
              <w:t>●● total arrear interest charged.</w:t>
            </w:r>
          </w:p>
          <w:p w14:paraId="62E68752" w14:textId="2CA7C6CB" w:rsidR="00092817" w:rsidRPr="00092817" w:rsidRDefault="00092817" w:rsidP="00092817">
            <w:pPr>
              <w:pStyle w:val="VOORSubhead1"/>
              <w:spacing w:line="240" w:lineRule="auto"/>
              <w:ind w:left="363"/>
              <w:rPr>
                <w:b w:val="0"/>
                <w:bCs w:val="0"/>
                <w:sz w:val="20"/>
                <w:szCs w:val="20"/>
              </w:rPr>
            </w:pPr>
            <w:r w:rsidRPr="00092817">
              <w:rPr>
                <w:b w:val="0"/>
                <w:bCs w:val="0"/>
                <w:sz w:val="20"/>
                <w:szCs w:val="20"/>
              </w:rPr>
              <w:t>d. Display the original balance due, the number of days that payment is overdue, the new balance due, the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92817">
              <w:rPr>
                <w:b w:val="0"/>
                <w:bCs w:val="0"/>
                <w:sz w:val="20"/>
                <w:szCs w:val="20"/>
              </w:rPr>
              <w:t>total arrear interest charged.</w:t>
            </w:r>
          </w:p>
          <w:p w14:paraId="7A587AFE" w14:textId="40E23C44" w:rsidR="00B52457" w:rsidRDefault="00092817" w:rsidP="0009281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92817">
              <w:rPr>
                <w:b w:val="0"/>
                <w:bCs w:val="0"/>
                <w:sz w:val="20"/>
                <w:szCs w:val="20"/>
              </w:rPr>
              <w:t>Save and run the project.</w:t>
            </w:r>
          </w:p>
          <w:p w14:paraId="5CADA48B" w14:textId="0C8E3D2B" w:rsidR="00BD1CE5" w:rsidRDefault="00BD1CE5" w:rsidP="002B326E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47CD57D6" w14:textId="42D2A9D7" w:rsidR="00BD1CE5" w:rsidRPr="00BD1CE5" w:rsidRDefault="00B52457" w:rsidP="002B326E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52457">
              <w:rPr>
                <w:b w:val="0"/>
                <w:bCs w:val="0"/>
                <w:noProof/>
                <w:sz w:val="20"/>
                <w:szCs w:val="20"/>
                <w:lang w:eastAsia="en-US"/>
              </w:rPr>
              <w:lastRenderedPageBreak/>
              <w:drawing>
                <wp:inline distT="0" distB="0" distL="0" distR="0" wp14:anchorId="3EB66E1D" wp14:editId="076D0558">
                  <wp:extent cx="2552700" cy="3509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385" cy="353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C0F61" w14:textId="4354365B" w:rsidR="00AF2BA9" w:rsidRPr="007F7310" w:rsidRDefault="00AF2BA9" w:rsidP="00F632D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E9848" w14:textId="77777777" w:rsidR="00FE2E8E" w:rsidRDefault="00FE2E8E" w:rsidP="001630F6">
      <w:pPr>
        <w:spacing w:after="0" w:line="240" w:lineRule="auto"/>
      </w:pPr>
      <w:r>
        <w:separator/>
      </w:r>
    </w:p>
  </w:endnote>
  <w:endnote w:type="continuationSeparator" w:id="0">
    <w:p w14:paraId="202F4568" w14:textId="77777777" w:rsidR="00FE2E8E" w:rsidRDefault="00FE2E8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5B892" w14:textId="77777777" w:rsidR="00FE2E8E" w:rsidRDefault="00FE2E8E" w:rsidP="001630F6">
      <w:pPr>
        <w:spacing w:after="0" w:line="240" w:lineRule="auto"/>
      </w:pPr>
      <w:r>
        <w:separator/>
      </w:r>
    </w:p>
  </w:footnote>
  <w:footnote w:type="continuationSeparator" w:id="0">
    <w:p w14:paraId="1126AF67" w14:textId="77777777" w:rsidR="00FE2E8E" w:rsidRDefault="00FE2E8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53D"/>
    <w:multiLevelType w:val="hybridMultilevel"/>
    <w:tmpl w:val="A498ECF0"/>
    <w:lvl w:ilvl="0" w:tplc="1C090001">
      <w:start w:val="1"/>
      <w:numFmt w:val="bullet"/>
      <w:lvlText w:val=""/>
      <w:lvlJc w:val="left"/>
      <w:pPr>
        <w:ind w:left="1508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cs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7"/>
  </w:num>
  <w:num w:numId="5">
    <w:abstractNumId w:val="3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4"/>
  </w:num>
  <w:num w:numId="17">
    <w:abstractNumId w:val="6"/>
  </w:num>
  <w:num w:numId="18">
    <w:abstractNumId w:val="17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48CE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2817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A5F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D7DBB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326E"/>
    <w:rsid w:val="002B73D7"/>
    <w:rsid w:val="002C5978"/>
    <w:rsid w:val="002C5F48"/>
    <w:rsid w:val="002C735F"/>
    <w:rsid w:val="002D3192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3F625F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C4670"/>
    <w:rsid w:val="004D272C"/>
    <w:rsid w:val="004E5679"/>
    <w:rsid w:val="004E6BB2"/>
    <w:rsid w:val="004F2046"/>
    <w:rsid w:val="004F295A"/>
    <w:rsid w:val="00500ADF"/>
    <w:rsid w:val="00501C27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5788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CD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B256C"/>
    <w:rsid w:val="007D01AA"/>
    <w:rsid w:val="007D22F6"/>
    <w:rsid w:val="007E0D5B"/>
    <w:rsid w:val="007E2151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873B8"/>
    <w:rsid w:val="008A069D"/>
    <w:rsid w:val="008C47EF"/>
    <w:rsid w:val="008C4B46"/>
    <w:rsid w:val="008C6F06"/>
    <w:rsid w:val="008D487F"/>
    <w:rsid w:val="008D4B60"/>
    <w:rsid w:val="008E4756"/>
    <w:rsid w:val="008E6FC7"/>
    <w:rsid w:val="009126EC"/>
    <w:rsid w:val="00916662"/>
    <w:rsid w:val="009171CC"/>
    <w:rsid w:val="00921771"/>
    <w:rsid w:val="00925F21"/>
    <w:rsid w:val="00935E14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B5B4F"/>
    <w:rsid w:val="009C606D"/>
    <w:rsid w:val="009D4DAF"/>
    <w:rsid w:val="009D5ACA"/>
    <w:rsid w:val="009F1560"/>
    <w:rsid w:val="009F76DE"/>
    <w:rsid w:val="00A179DE"/>
    <w:rsid w:val="00A2654C"/>
    <w:rsid w:val="00A32732"/>
    <w:rsid w:val="00A44F6D"/>
    <w:rsid w:val="00A541D7"/>
    <w:rsid w:val="00A5758C"/>
    <w:rsid w:val="00A6088A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2BA9"/>
    <w:rsid w:val="00AF3B13"/>
    <w:rsid w:val="00B144C8"/>
    <w:rsid w:val="00B15906"/>
    <w:rsid w:val="00B17131"/>
    <w:rsid w:val="00B25E50"/>
    <w:rsid w:val="00B411C3"/>
    <w:rsid w:val="00B52457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A6824"/>
    <w:rsid w:val="00BB7AC1"/>
    <w:rsid w:val="00BD1CE5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215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52186"/>
    <w:rsid w:val="00C713D8"/>
    <w:rsid w:val="00C71B71"/>
    <w:rsid w:val="00C737F7"/>
    <w:rsid w:val="00C74B56"/>
    <w:rsid w:val="00C8416D"/>
    <w:rsid w:val="00CA3001"/>
    <w:rsid w:val="00CB6F8E"/>
    <w:rsid w:val="00CC5DCE"/>
    <w:rsid w:val="00CD2564"/>
    <w:rsid w:val="00CD364A"/>
    <w:rsid w:val="00CD3E3C"/>
    <w:rsid w:val="00CE5298"/>
    <w:rsid w:val="00D03DCC"/>
    <w:rsid w:val="00D1085F"/>
    <w:rsid w:val="00D142FE"/>
    <w:rsid w:val="00D33966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2811"/>
    <w:rsid w:val="00DF6E9A"/>
    <w:rsid w:val="00E13735"/>
    <w:rsid w:val="00E23858"/>
    <w:rsid w:val="00E324DF"/>
    <w:rsid w:val="00E352D2"/>
    <w:rsid w:val="00E35C3A"/>
    <w:rsid w:val="00E418C0"/>
    <w:rsid w:val="00E45B92"/>
    <w:rsid w:val="00E63177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5403"/>
    <w:rsid w:val="00EF783B"/>
    <w:rsid w:val="00F02280"/>
    <w:rsid w:val="00F14191"/>
    <w:rsid w:val="00F3436C"/>
    <w:rsid w:val="00F40E1F"/>
    <w:rsid w:val="00F4167D"/>
    <w:rsid w:val="00F42AB9"/>
    <w:rsid w:val="00F455F2"/>
    <w:rsid w:val="00F632D8"/>
    <w:rsid w:val="00F87DEC"/>
    <w:rsid w:val="00F91988"/>
    <w:rsid w:val="00F9199D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2E8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71FF-1080-457D-BC9F-7DC6DB54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2020-04-20T10:14:00Z</dcterms:created>
  <dcterms:modified xsi:type="dcterms:W3CDTF">2020-04-20T10:14:00Z</dcterms:modified>
</cp:coreProperties>
</file>