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:rsidTr="005A69FB">
        <w:tc>
          <w:tcPr>
            <w:tcW w:w="10420" w:type="dxa"/>
          </w:tcPr>
          <w:p w:rsidR="00214BF4" w:rsidRPr="00214BF4" w:rsidRDefault="00214BF4" w:rsidP="00214BF4">
            <w:pPr>
              <w:rPr>
                <w:rFonts w:eastAsia="Calibri"/>
              </w:rPr>
            </w:pPr>
          </w:p>
          <w:p w:rsidR="00214BF4" w:rsidRPr="00214BF4" w:rsidRDefault="00214BF4" w:rsidP="00214BF4">
            <w:pPr>
              <w:rPr>
                <w:rFonts w:eastAsia="Calibri"/>
              </w:rPr>
            </w:pPr>
          </w:p>
          <w:p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:rsidR="00735F2C" w:rsidRPr="00012B16" w:rsidRDefault="00735F2C" w:rsidP="00735F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TUIS-ONDERIG SELFSTUDIE</w:t>
            </w:r>
          </w:p>
          <w:p w:rsidR="00214BF4" w:rsidRPr="00214BF4" w:rsidRDefault="00735F2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NASIENRIGLYN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1"/>
              <w:gridCol w:w="68"/>
              <w:gridCol w:w="2154"/>
              <w:gridCol w:w="1044"/>
              <w:gridCol w:w="472"/>
              <w:gridCol w:w="1096"/>
              <w:gridCol w:w="1217"/>
              <w:gridCol w:w="352"/>
              <w:gridCol w:w="843"/>
              <w:gridCol w:w="259"/>
            </w:tblGrid>
            <w:tr w:rsidR="00735F2C" w:rsidRPr="00214BF4" w:rsidTr="006C7D98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2027EA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35F2C" w:rsidRPr="00214BF4" w:rsidTr="006C7D98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Ontleding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vertolking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finansiële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state: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Vaslegging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735F2C" w:rsidRDefault="00735F2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CB31ED" w:rsidRPr="0057325C" w:rsidTr="000836BE">
        <w:tc>
          <w:tcPr>
            <w:tcW w:w="8620" w:type="dxa"/>
            <w:gridSpan w:val="6"/>
          </w:tcPr>
          <w:p w:rsidR="00CB31ED" w:rsidRPr="00C9705E" w:rsidRDefault="00735F2C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:rsidTr="000836BE">
        <w:tc>
          <w:tcPr>
            <w:tcW w:w="1918" w:type="dxa"/>
          </w:tcPr>
          <w:p w:rsidR="00511B49" w:rsidRDefault="00735F2C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:rsidR="00511B49" w:rsidRDefault="006C56E3" w:rsidP="006C56E3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511B4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:rsidR="00511B49" w:rsidRPr="00511B49" w:rsidRDefault="0013320C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785"/>
        <w:gridCol w:w="1574"/>
        <w:gridCol w:w="1574"/>
        <w:gridCol w:w="1575"/>
        <w:gridCol w:w="2040"/>
      </w:tblGrid>
      <w:tr w:rsidR="000836BE" w:rsidTr="0013320C">
        <w:tc>
          <w:tcPr>
            <w:tcW w:w="3536" w:type="dxa"/>
            <w:gridSpan w:val="2"/>
          </w:tcPr>
          <w:p w:rsidR="000836BE" w:rsidRPr="000836BE" w:rsidRDefault="00C6490C" w:rsidP="0083757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83757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1</w:t>
            </w:r>
          </w:p>
        </w:tc>
        <w:tc>
          <w:tcPr>
            <w:tcW w:w="1574" w:type="dxa"/>
          </w:tcPr>
          <w:p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</w:tcPr>
          <w:p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:rsidR="0013320C" w:rsidRDefault="001332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D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E</w:t>
            </w:r>
          </w:p>
        </w:tc>
        <w:tc>
          <w:tcPr>
            <w:tcW w:w="1574" w:type="dxa"/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A</w:t>
            </w:r>
          </w:p>
        </w:tc>
        <w:tc>
          <w:tcPr>
            <w:tcW w:w="1574" w:type="dxa"/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C</w:t>
            </w:r>
          </w:p>
        </w:tc>
        <w:tc>
          <w:tcPr>
            <w:tcW w:w="1574" w:type="dxa"/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:rsidTr="0013320C"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B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13320C" w:rsidRPr="00BC12D3" w:rsidTr="0013320C">
        <w:tc>
          <w:tcPr>
            <w:tcW w:w="102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294"/>
            </w:tblGrid>
            <w:tr w:rsidR="006C56E3" w:rsidRPr="00BC12D3" w:rsidTr="006C56E3">
              <w:tc>
                <w:tcPr>
                  <w:tcW w:w="750" w:type="dxa"/>
                </w:tcPr>
                <w:p w:rsidR="006C56E3" w:rsidRPr="00BC12D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9294" w:type="dxa"/>
                </w:tcPr>
                <w:p w:rsidR="006C56E3" w:rsidRPr="006C56E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Bereken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volgende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geëindig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29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Februarie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2020:</w:t>
                  </w:r>
                </w:p>
              </w:tc>
            </w:tr>
          </w:tbl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10260" w:type="dxa"/>
          </w:tcPr>
          <w:p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Bedryfskapitaalverhouding</w:t>
            </w:r>
            <w:proofErr w:type="spellEnd"/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443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520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10260" w:type="dxa"/>
          </w:tcPr>
          <w:p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(443 520 – 261 000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182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520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0.9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10260" w:type="dxa"/>
          </w:tcPr>
          <w:p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debiteure-invorderingstydperk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dae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½ (66 600 + 54 000)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(1 485 000 x 40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 xml:space="preserve">%)   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60 300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594 000       1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37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425DFA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10260" w:type="dxa"/>
          </w:tcPr>
          <w:p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</w:t>
            </w:r>
          </w:p>
          <w:p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3B46">
              <w:rPr>
                <w:rFonts w:ascii="Arial" w:hAnsi="Arial" w:cs="Arial"/>
                <w:sz w:val="24"/>
                <w:szCs w:val="24"/>
              </w:rPr>
              <w:t>E</w:t>
            </w:r>
            <w:r w:rsidR="00425DFA">
              <w:rPr>
                <w:rFonts w:ascii="Arial" w:hAnsi="Arial" w:cs="Arial"/>
                <w:sz w:val="24"/>
                <w:szCs w:val="24"/>
              </w:rPr>
              <w:t>kwiteit</w:t>
            </w:r>
            <w:proofErr w:type="spellEnd"/>
            <w:r w:rsidR="00425D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5DFA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6F3B46">
              <w:rPr>
                <w:rFonts w:ascii="Arial" w:hAnsi="Arial" w:cs="Arial"/>
                <w:sz w:val="24"/>
                <w:szCs w:val="24"/>
              </w:rPr>
              <w:t xml:space="preserve"> 2020 &amp; 2019 = 900 000 + 360 000 + 81 000 + 45 000 + 72 000 – 18 000</w:t>
            </w: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= 1 440 000</w:t>
            </w:r>
          </w:p>
          <w:p w:rsidR="00425DFA" w:rsidRPr="00BC12D3" w:rsidRDefault="00425DFA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(1 485 000 x 11.5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%)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½ (1 440 000)               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170 775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720 000            1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23.7%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10260" w:type="dxa"/>
          </w:tcPr>
          <w:p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412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(900 000 + 81 000 + 72 000)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412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1 053 000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0.4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:rsidTr="00425DFA">
              <w:tc>
                <w:tcPr>
                  <w:tcW w:w="750" w:type="dxa"/>
                </w:tcPr>
                <w:p w:rsidR="00425DFA" w:rsidRPr="00BC12D3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8384" w:type="dxa"/>
                </w:tcPr>
                <w:p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Lewer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kommentaar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likiditeit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Haal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relevante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finansiële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aanwysers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om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regverdig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9350" w:type="dxa"/>
          </w:tcPr>
          <w:p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2.6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2.2 : 1 in  2020</w:t>
            </w:r>
          </w:p>
          <w:p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0.7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0.9 : 1 in 2020</w:t>
            </w:r>
          </w:p>
          <w:p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debituere-invorderingstydperk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37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in 2020</w:t>
            </w: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:rsidTr="00425DFA">
              <w:tc>
                <w:tcPr>
                  <w:tcW w:w="750" w:type="dxa"/>
                </w:tcPr>
                <w:p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1.2.3</w:t>
                  </w:r>
                </w:p>
                <w:p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84" w:type="dxa"/>
                </w:tcPr>
                <w:p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Behoort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vennote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tevrede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wees met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persentasie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opbrengs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wat Nicks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Handelaars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 2020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het. Gee TWEE redes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9350" w:type="dxa"/>
          </w:tcPr>
          <w:p w:rsidR="0013320C" w:rsidRPr="00BC12D3" w:rsidRDefault="00021ED3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320C" w:rsidRPr="00BC12D3" w:rsidRDefault="00021ED3" w:rsidP="00F303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19.3%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23.7% in 2020</w:t>
            </w:r>
          </w:p>
          <w:p w:rsidR="0013320C" w:rsidRPr="00BC12D3" w:rsidRDefault="00021ED3" w:rsidP="00F303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wat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by die bank).</w:t>
            </w: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:rsidTr="00425DFA">
              <w:tc>
                <w:tcPr>
                  <w:tcW w:w="750" w:type="dxa"/>
                </w:tcPr>
                <w:p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8384" w:type="dxa"/>
                </w:tcPr>
                <w:p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wil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uitbrei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,,</w:t>
                  </w:r>
                  <w:proofErr w:type="gram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moet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langtermynlaste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verhoog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? Gee 'n rede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13320C">
        <w:tc>
          <w:tcPr>
            <w:tcW w:w="9350" w:type="dxa"/>
          </w:tcPr>
          <w:p w:rsidR="0013320C" w:rsidRPr="00BC12D3" w:rsidRDefault="00021ED3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13320C" w:rsidRPr="00BC12D3" w:rsidRDefault="00021ED3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0.4: 1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verlede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0.8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Pr="00BC12D3" w:rsidRDefault="0013320C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Risk</w:t>
            </w:r>
            <w:r w:rsidR="00021ED3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dus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laag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tot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gematig</w:t>
            </w:r>
            <w:proofErr w:type="spellEnd"/>
          </w:p>
          <w:p w:rsidR="0013320C" w:rsidRPr="00BC12D3" w:rsidRDefault="00021ED3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want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23.7%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rentekoers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nie-bedryfslaste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9.5%</w:t>
            </w:r>
          </w:p>
        </w:tc>
      </w:tr>
    </w:tbl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:rsidTr="00BE472B">
        <w:tc>
          <w:tcPr>
            <w:tcW w:w="8620" w:type="dxa"/>
            <w:gridSpan w:val="6"/>
          </w:tcPr>
          <w:p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Tr="00BE472B">
        <w:tc>
          <w:tcPr>
            <w:tcW w:w="1918" w:type="dxa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:rsidR="00B86894" w:rsidRPr="00511B49" w:rsidRDefault="0013320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3"/>
        <w:gridCol w:w="2767"/>
        <w:gridCol w:w="17"/>
        <w:gridCol w:w="1560"/>
        <w:gridCol w:w="13"/>
        <w:gridCol w:w="1564"/>
        <w:gridCol w:w="9"/>
        <w:gridCol w:w="1574"/>
        <w:gridCol w:w="1920"/>
        <w:gridCol w:w="124"/>
      </w:tblGrid>
      <w:tr w:rsidR="00B86894" w:rsidTr="00BE472B">
        <w:trPr>
          <w:gridAfter w:val="1"/>
          <w:wAfter w:w="124" w:type="dxa"/>
        </w:trPr>
        <w:tc>
          <w:tcPr>
            <w:tcW w:w="3519" w:type="dxa"/>
            <w:gridSpan w:val="3"/>
          </w:tcPr>
          <w:p w:rsidR="00B86894" w:rsidRPr="000836BE" w:rsidRDefault="00B86894" w:rsidP="00D02E8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D02E8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2</w:t>
            </w:r>
          </w:p>
        </w:tc>
        <w:tc>
          <w:tcPr>
            <w:tcW w:w="1578" w:type="dxa"/>
            <w:gridSpan w:val="2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:rsidTr="00BE472B">
        <w:trPr>
          <w:gridAfter w:val="1"/>
          <w:wAfter w:w="124" w:type="dxa"/>
        </w:trPr>
        <w:tc>
          <w:tcPr>
            <w:tcW w:w="72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  <w:gridSpan w:val="2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2.1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3536" w:type="dxa"/>
            <w:gridSpan w:val="4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r</w:t>
            </w:r>
            <w:r w:rsidRPr="00BC12D3">
              <w:rPr>
                <w:rFonts w:ascii="Arial" w:hAnsi="Arial" w:cs="Arial"/>
                <w:sz w:val="24"/>
                <w:szCs w:val="24"/>
              </w:rPr>
              <w:t>isk</w:t>
            </w:r>
            <w:r w:rsidR="00837579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li</w:t>
            </w:r>
            <w:r w:rsidR="00837579">
              <w:rPr>
                <w:rFonts w:ascii="Arial" w:hAnsi="Arial" w:cs="Arial"/>
                <w:sz w:val="24"/>
                <w:szCs w:val="24"/>
              </w:rPr>
              <w:t>kied</w:t>
            </w:r>
            <w:proofErr w:type="spellEnd"/>
          </w:p>
        </w:tc>
        <w:tc>
          <w:tcPr>
            <w:tcW w:w="1574" w:type="dxa"/>
            <w:gridSpan w:val="2"/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.1.3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C12D3">
              <w:rPr>
                <w:rFonts w:ascii="Arial" w:hAnsi="Arial" w:cs="Arial"/>
                <w:sz w:val="24"/>
                <w:szCs w:val="24"/>
              </w:rPr>
              <w:t>solvent</w:t>
            </w:r>
          </w:p>
        </w:tc>
        <w:tc>
          <w:tcPr>
            <w:tcW w:w="1574" w:type="dxa"/>
            <w:gridSpan w:val="2"/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.1.4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winsgewend</w:t>
            </w:r>
            <w:proofErr w:type="spellEnd"/>
          </w:p>
        </w:tc>
        <w:tc>
          <w:tcPr>
            <w:tcW w:w="1574" w:type="dxa"/>
            <w:gridSpan w:val="2"/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:rsidTr="00BE472B">
        <w:tc>
          <w:tcPr>
            <w:tcW w:w="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.1.5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p w:rsidR="0013320C" w:rsidRPr="00BE472B" w:rsidRDefault="0013320C" w:rsidP="0013320C">
      <w:pPr>
        <w:rPr>
          <w:rFonts w:ascii="Arial" w:hAnsi="Arial" w:cs="Arial"/>
          <w:b/>
          <w:sz w:val="24"/>
          <w:szCs w:val="24"/>
        </w:rPr>
      </w:pPr>
      <w:r w:rsidRPr="00BE472B">
        <w:rPr>
          <w:rFonts w:ascii="Arial" w:hAnsi="Arial" w:cs="Arial"/>
          <w:b/>
          <w:sz w:val="24"/>
          <w:szCs w:val="24"/>
        </w:rPr>
        <w:t>2.</w:t>
      </w:r>
      <w:r w:rsidR="00BE472B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:rsidTr="00BE472B">
        <w:tc>
          <w:tcPr>
            <w:tcW w:w="10170" w:type="dxa"/>
          </w:tcPr>
          <w:p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2.2.1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is.</w:t>
            </w: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(2 580 000 – 1 883 210)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1 883 210                    1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696 790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1 883 210       1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37%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:rsidTr="00BE472B">
        <w:tc>
          <w:tcPr>
            <w:tcW w:w="10170" w:type="dxa"/>
          </w:tcPr>
          <w:p w:rsidR="00927416" w:rsidRDefault="0013320C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2.2.2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Beheer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uitgawes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effektief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syfer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3320C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927416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927416" w:rsidP="001332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19%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15.1%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:rsidTr="00BE472B">
        <w:tc>
          <w:tcPr>
            <w:tcW w:w="10170" w:type="dxa"/>
          </w:tcPr>
          <w:p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2.2.3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Bereken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volgende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aanwysers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vir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jaar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geëindig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30 September 2019</w:t>
            </w: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Bdedryfskapitaalverhouding</w:t>
            </w:r>
            <w:proofErr w:type="spellEnd"/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439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160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187 788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2.3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BE472B">
        <w:tc>
          <w:tcPr>
            <w:tcW w:w="10170" w:type="dxa"/>
          </w:tcPr>
          <w:p w:rsidR="0013320C" w:rsidRPr="000813DA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Voorraadomsetsnelheid</w:t>
            </w:r>
            <w:proofErr w:type="spellEnd"/>
          </w:p>
          <w:p w:rsidR="00927416" w:rsidRPr="00927416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1 883 210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(202 560 + 197 400)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1 883 210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199 980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Default="0013320C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9.4 </w:t>
            </w:r>
            <w:proofErr w:type="spellStart"/>
            <w:r w:rsidR="00927416"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:rsidR="00927416" w:rsidRPr="00BC12D3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Debiteure-invorderingsperiode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½ (81 304 + 64 154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495 356                  1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72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729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x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495 356      1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54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0813DA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193 636    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(1 090 632 + 968 996)     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193 636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1 029 814           1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18.8%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:rsidTr="00BE472B">
        <w:tc>
          <w:tcPr>
            <w:tcW w:w="10170" w:type="dxa"/>
          </w:tcPr>
          <w:p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Skuld</w:t>
            </w:r>
            <w:proofErr w:type="spellEnd"/>
            <w:r w:rsidRPr="000813D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ekwiteitsverhouding</w:t>
            </w:r>
            <w:proofErr w:type="spellEnd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240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1 090 632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Default="0013320C" w:rsidP="0013320C">
      <w:pPr>
        <w:rPr>
          <w:rFonts w:ascii="Arial" w:hAnsi="Arial" w:cs="Arial"/>
          <w:sz w:val="24"/>
          <w:szCs w:val="24"/>
        </w:rPr>
      </w:pPr>
    </w:p>
    <w:p w:rsidR="00BE472B" w:rsidRDefault="00BE472B" w:rsidP="0013320C">
      <w:pPr>
        <w:rPr>
          <w:rFonts w:ascii="Arial" w:hAnsi="Arial" w:cs="Arial"/>
          <w:sz w:val="24"/>
          <w:szCs w:val="24"/>
        </w:rPr>
      </w:pPr>
    </w:p>
    <w:p w:rsidR="00BE472B" w:rsidRDefault="00BE472B" w:rsidP="0013320C">
      <w:pPr>
        <w:rPr>
          <w:rFonts w:ascii="Arial" w:hAnsi="Arial" w:cs="Arial"/>
          <w:sz w:val="24"/>
          <w:szCs w:val="24"/>
        </w:rPr>
      </w:pPr>
    </w:p>
    <w:p w:rsidR="00BE472B" w:rsidRDefault="00BE472B" w:rsidP="0013320C">
      <w:pPr>
        <w:rPr>
          <w:rFonts w:ascii="Arial" w:hAnsi="Arial" w:cs="Arial"/>
          <w:sz w:val="24"/>
          <w:szCs w:val="24"/>
        </w:rPr>
      </w:pPr>
    </w:p>
    <w:p w:rsidR="00BE472B" w:rsidRDefault="00BE472B" w:rsidP="0013320C">
      <w:pPr>
        <w:rPr>
          <w:rFonts w:ascii="Arial" w:hAnsi="Arial" w:cs="Arial"/>
          <w:sz w:val="24"/>
          <w:szCs w:val="24"/>
        </w:rPr>
      </w:pPr>
    </w:p>
    <w:p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p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2.2.4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</w:p>
          <w:p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:rsidTr="0013320C">
        <w:tc>
          <w:tcPr>
            <w:tcW w:w="9350" w:type="dxa"/>
          </w:tcPr>
          <w:p w:rsidR="009D446C" w:rsidRDefault="009D446C" w:rsidP="009D44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2.2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2.3 : 1</w:t>
            </w:r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1.1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1.3 : 1</w:t>
            </w:r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Voorraadomsetsnelheid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7.8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9.4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Debiteure-invorderingsperiode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38 to 54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Krediteure-betalingsperiode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38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41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:rsidR="0013320C" w:rsidRPr="00BC12D3" w:rsidRDefault="0013320C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Li</w:t>
            </w:r>
            <w:r w:rsidR="005327D6">
              <w:rPr>
                <w:rFonts w:ascii="Arial" w:hAnsi="Arial" w:cs="Arial"/>
                <w:sz w:val="24"/>
                <w:szCs w:val="24"/>
              </w:rPr>
              <w:t>kididteit</w:t>
            </w:r>
            <w:proofErr w:type="spellEnd"/>
            <w:r w:rsidR="005327D6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5327D6">
              <w:rPr>
                <w:rFonts w:ascii="Arial" w:hAnsi="Arial" w:cs="Arial"/>
                <w:sz w:val="24"/>
                <w:szCs w:val="24"/>
              </w:rPr>
              <w:t>bevredigend</w:t>
            </w:r>
            <w:proofErr w:type="spellEnd"/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verpligtinge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</w:t>
            </w:r>
            <w:proofErr w:type="spellEnd"/>
          </w:p>
          <w:p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behoort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vroeë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D446C">
              <w:rPr>
                <w:rFonts w:ascii="Arial" w:hAnsi="Arial" w:cs="Arial"/>
                <w:sz w:val="24"/>
                <w:szCs w:val="24"/>
              </w:rPr>
              <w:t>etalings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gee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hef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laat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betalings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, om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sodoende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by die 30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invorderingsperiode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kom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320C" w:rsidRPr="00BC12D3" w:rsidRDefault="009D446C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‘n 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betalingsooreenkoms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verskaffers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onderhandel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p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2.2.5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:rsidTr="0013320C">
        <w:tc>
          <w:tcPr>
            <w:tcW w:w="9350" w:type="dxa"/>
          </w:tcPr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9D446C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13320C" w:rsidP="00F303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Ben</w:t>
            </w:r>
            <w:r w:rsidR="009D446C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het met </w:t>
            </w:r>
            <w:r w:rsidRPr="00BC12D3">
              <w:rPr>
                <w:rFonts w:ascii="Arial" w:hAnsi="Arial" w:cs="Arial"/>
                <w:sz w:val="24"/>
                <w:szCs w:val="24"/>
              </w:rPr>
              <w:t>3 %</w:t>
            </w:r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</w:p>
          <w:p w:rsidR="0013320C" w:rsidRDefault="009D446C" w:rsidP="00F303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Alhoewel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Thando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steeds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>5% - 9%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aangebied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:rsidTr="0013320C">
        <w:tc>
          <w:tcPr>
            <w:tcW w:w="9350" w:type="dxa"/>
          </w:tcPr>
          <w:p w:rsidR="009D446C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2.2.6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R400 000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verbeterings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geboue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maak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3320C" w:rsidRPr="00BC12D3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:rsidTr="0013320C">
        <w:tc>
          <w:tcPr>
            <w:tcW w:w="9350" w:type="dxa"/>
          </w:tcPr>
          <w:p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3320C" w:rsidRPr="00BC12D3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Maak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</w:p>
          <w:p w:rsidR="0013320C" w:rsidRPr="00BC12D3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0.3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0.2 : 1</w:t>
            </w:r>
          </w:p>
          <w:p w:rsidR="0013320C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aanduiding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laaggerat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Minder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riskant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kredietwaardig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  <w:p w:rsidR="009D446C" w:rsidRPr="009D446C" w:rsidRDefault="009D446C" w:rsidP="009D4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:rsidTr="00D02E8B">
        <w:tc>
          <w:tcPr>
            <w:tcW w:w="8630" w:type="dxa"/>
            <w:gridSpan w:val="6"/>
          </w:tcPr>
          <w:p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40" w:type="dxa"/>
          </w:tcPr>
          <w:p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:rsidTr="00D02E8B">
        <w:tc>
          <w:tcPr>
            <w:tcW w:w="8630" w:type="dxa"/>
            <w:gridSpan w:val="6"/>
          </w:tcPr>
          <w:p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Tr="00D02E8B">
        <w:tc>
          <w:tcPr>
            <w:tcW w:w="1911" w:type="dxa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2"/>
          </w:tcPr>
          <w:p w:rsidR="00B86894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:rsidTr="00431BE2">
        <w:tc>
          <w:tcPr>
            <w:tcW w:w="3519" w:type="dxa"/>
            <w:gridSpan w:val="2"/>
          </w:tcPr>
          <w:p w:rsidR="00B86894" w:rsidRPr="000836BE" w:rsidRDefault="00B86894" w:rsidP="00967D5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967D5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3</w:t>
            </w:r>
          </w:p>
        </w:tc>
        <w:tc>
          <w:tcPr>
            <w:tcW w:w="157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:rsidTr="00431BE2">
        <w:tc>
          <w:tcPr>
            <w:tcW w:w="72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BE472B" w:rsidRPr="00BC12D3" w:rsidRDefault="00A15650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verskil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tussen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solvensie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Pr="002D2E87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2D2E87" w:rsidRDefault="00A15650" w:rsidP="00F303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vermoë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</w:p>
          <w:p w:rsidR="00BE472B" w:rsidRDefault="00A15650" w:rsidP="00F303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Solvensie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vermoë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A15650" w:rsidRPr="00BC12D3" w:rsidRDefault="00BE472B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2019:</w:t>
            </w:r>
          </w:p>
        </w:tc>
      </w:tr>
      <w:tr w:rsidR="00BE472B" w:rsidRPr="00BC12D3" w:rsidTr="006C7D98">
        <w:tc>
          <w:tcPr>
            <w:tcW w:w="9350" w:type="dxa"/>
          </w:tcPr>
          <w:p w:rsidR="00A15650" w:rsidRDefault="00A15650" w:rsidP="00A1565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(107 400 + 45 720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54 096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153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54 096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2.8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Voorraadomsetsnelheid</w:t>
            </w:r>
            <w:proofErr w:type="spellEnd"/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691 200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(209 856 + 183 120)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691 200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196 488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3.5 </w:t>
            </w:r>
            <w:proofErr w:type="spellStart"/>
            <w:r w:rsidR="00A15650"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204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768 000</w:t>
            </w:r>
          </w:p>
          <w:p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0.3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BE472B" w:rsidRPr="00BC12D3" w:rsidRDefault="004702F8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162 000   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(786 000 + 540 000)        1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162 000   x 100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663 000         1</w:t>
            </w:r>
          </w:p>
          <w:p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24.4%</w:t>
            </w:r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4702F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3.3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werklike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winsopslagpersentasies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BC12D3" w:rsidRDefault="004702F8" w:rsidP="004702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beantwoord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redes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waarom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Zenzele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verwagte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60%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02F8">
              <w:rPr>
                <w:rFonts w:ascii="Arial" w:hAnsi="Arial" w:cs="Arial"/>
                <w:bCs/>
                <w:sz w:val="24"/>
                <w:szCs w:val="24"/>
              </w:rPr>
              <w:t>'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liberale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beleid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ten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opsigte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van die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toekenning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handels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korting</w:t>
            </w:r>
            <w:proofErr w:type="spellEnd"/>
          </w:p>
          <w:p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veel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seisoenale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verkope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teen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lae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pryse</w:t>
            </w:r>
            <w:proofErr w:type="spellEnd"/>
          </w:p>
          <w:p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Verkeerde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pryse</w:t>
            </w:r>
            <w:proofErr w:type="spellEnd"/>
          </w:p>
          <w:p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4702F8">
              <w:rPr>
                <w:rFonts w:ascii="Arial" w:hAnsi="Arial" w:cs="Arial"/>
                <w:bCs/>
                <w:sz w:val="24"/>
                <w:szCs w:val="24"/>
              </w:rPr>
              <w:t>inkeldiefstal</w:t>
            </w:r>
            <w:proofErr w:type="spellEnd"/>
          </w:p>
          <w:p w:rsidR="00BE472B" w:rsidRPr="00BC12D3" w:rsidRDefault="00BE472B" w:rsidP="004702F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7126B5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dit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 70% op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koste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faktore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voordat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hierdie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strategie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6B5">
              <w:rPr>
                <w:rFonts w:ascii="Arial" w:hAnsi="Arial" w:cs="Arial"/>
                <w:b/>
                <w:bCs/>
                <w:sz w:val="24"/>
                <w:szCs w:val="24"/>
              </w:rPr>
              <w:t>implementer.</w:t>
            </w:r>
          </w:p>
          <w:p w:rsidR="007126B5" w:rsidRPr="007126B5" w:rsidRDefault="00BE472B" w:rsidP="002373E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>behoeftes</w:t>
            </w:r>
            <w:proofErr w:type="spellEnd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>kliënte</w:t>
            </w:r>
            <w:proofErr w:type="spellEnd"/>
          </w:p>
          <w:p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koopkrag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kliënte</w:t>
            </w:r>
            <w:proofErr w:type="spellEnd"/>
          </w:p>
          <w:p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Pryse </w:t>
            </w: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mededingers</w:t>
            </w:r>
            <w:proofErr w:type="spellEnd"/>
          </w:p>
          <w:p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effek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daarvan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op 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verkoopsvolume</w:t>
            </w:r>
            <w:proofErr w:type="spellEnd"/>
          </w:p>
          <w:p w:rsidR="00BE472B" w:rsidRPr="00BC12D3" w:rsidRDefault="00BE472B" w:rsidP="007126B5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751A89" w:rsidRDefault="00BE472B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 die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likiditeitsprobleem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751A89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persentasies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verhoudings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BC12D3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N</w:t>
            </w:r>
            <w:r w:rsidR="00751A89">
              <w:rPr>
                <w:rFonts w:ascii="Arial" w:hAnsi="Arial" w:cs="Arial"/>
                <w:sz w:val="24"/>
                <w:szCs w:val="24"/>
              </w:rPr>
              <w:t>ee</w:t>
            </w:r>
          </w:p>
          <w:p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1.5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3.1 : 1</w:t>
            </w:r>
          </w:p>
          <w:p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0.48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2.8 : 1</w:t>
            </w:r>
          </w:p>
          <w:p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Voorraadomsetsnelheid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2.9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3.5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:rsidR="00BE472B" w:rsidRPr="00BC12D3" w:rsidRDefault="00BE472B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Deb</w:t>
            </w:r>
            <w:r w:rsidR="00751A89">
              <w:rPr>
                <w:rFonts w:ascii="Arial" w:hAnsi="Arial" w:cs="Arial"/>
                <w:sz w:val="24"/>
                <w:szCs w:val="24"/>
              </w:rPr>
              <w:t>iteure-invordering</w:t>
            </w:r>
            <w:proofErr w:type="spellEnd"/>
            <w:r w:rsidR="00751A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1A89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="00751A89"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751A89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65"/>
        <w:gridCol w:w="1545"/>
        <w:gridCol w:w="1548"/>
        <w:gridCol w:w="1603"/>
        <w:gridCol w:w="1547"/>
        <w:gridCol w:w="1554"/>
        <w:gridCol w:w="465"/>
        <w:gridCol w:w="1088"/>
        <w:gridCol w:w="455"/>
      </w:tblGrid>
      <w:tr w:rsidR="00BE472B" w:rsidRPr="00BC12D3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:rsidR="003B4070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3.5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Een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van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Sharks Bank so </w:t>
            </w:r>
          </w:p>
          <w:p w:rsidR="003B4070" w:rsidRDefault="003B4070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vining as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moontlik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betaal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word.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hom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</w:p>
          <w:p w:rsidR="00BE472B" w:rsidRPr="00BC12D3" w:rsidRDefault="003B4070" w:rsidP="003B4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Bespreek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afbetaal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</w:p>
          <w:p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Alhoewel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0.25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 xml:space="preserve">t 0.3 : 1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laaggerat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kredietwaardig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riskant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39%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36 % </w:t>
            </w:r>
            <w:r>
              <w:rPr>
                <w:rFonts w:ascii="Arial" w:hAnsi="Arial" w:cs="Arial"/>
                <w:sz w:val="24"/>
                <w:szCs w:val="24"/>
              </w:rPr>
              <w:t xml:space="preserve">maar is steeds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15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BE472B" w:rsidRDefault="00804729" w:rsidP="00804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dui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  <w:p w:rsidR="00804729" w:rsidRPr="00BC12D3" w:rsidRDefault="00804729" w:rsidP="00804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:rsidR="002373EF" w:rsidRPr="002373EF" w:rsidRDefault="00BE472B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3.6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prestasie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="00BE472B" w:rsidRPr="00BC12D3" w:rsidRDefault="002373EF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:rsidR="00BE472B" w:rsidRPr="00BC12D3" w:rsidRDefault="002373EF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:rsidR="00BE472B" w:rsidRPr="00BC12D3" w:rsidRDefault="00BE472B" w:rsidP="002373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Al</w:t>
            </w:r>
            <w:r w:rsidR="002373EF">
              <w:rPr>
                <w:rFonts w:ascii="Arial" w:hAnsi="Arial" w:cs="Arial"/>
                <w:sz w:val="24"/>
                <w:szCs w:val="24"/>
              </w:rPr>
              <w:t>hoewel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verminder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het van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28.2%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to</w:t>
            </w:r>
            <w:r w:rsidR="002373EF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24.8% i</w:t>
            </w:r>
            <w:r w:rsidR="002373E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steeds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wat teen </w:t>
            </w:r>
            <w:r w:rsidRPr="00BC12D3">
              <w:rPr>
                <w:rFonts w:ascii="Arial" w:hAnsi="Arial" w:cs="Arial"/>
                <w:sz w:val="24"/>
                <w:szCs w:val="24"/>
              </w:rPr>
              <w:t>5% - 9%</w:t>
            </w:r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gebied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</w:tc>
      </w:tr>
      <w:tr w:rsidR="00B86894" w:rsidRPr="0057325C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40" w:type="dxa"/>
            <w:gridSpan w:val="2"/>
          </w:tcPr>
          <w:p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1" w:type="dxa"/>
            <w:gridSpan w:val="2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3"/>
          </w:tcPr>
          <w:p w:rsidR="00B86894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:rsidTr="00431BE2">
        <w:tc>
          <w:tcPr>
            <w:tcW w:w="3519" w:type="dxa"/>
            <w:gridSpan w:val="2"/>
          </w:tcPr>
          <w:p w:rsidR="00B86894" w:rsidRPr="000836BE" w:rsidRDefault="00B86894" w:rsidP="002373EF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2373EF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4</w:t>
            </w:r>
          </w:p>
        </w:tc>
        <w:tc>
          <w:tcPr>
            <w:tcW w:w="157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:rsidTr="00431BE2">
        <w:tc>
          <w:tcPr>
            <w:tcW w:w="72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72B" w:rsidRPr="00BC12D3" w:rsidTr="00BE472B">
        <w:trPr>
          <w:trHeight w:val="2483"/>
        </w:trPr>
        <w:tc>
          <w:tcPr>
            <w:tcW w:w="9350" w:type="dxa"/>
          </w:tcPr>
          <w:p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4.1.1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bedryfslaste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1174"/>
            </w:tblGrid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300 520</w:t>
                  </w:r>
                </w:p>
              </w:tc>
            </w:tr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40 480</w:t>
                  </w:r>
                </w:p>
              </w:tc>
            </w:tr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194 700</w:t>
                  </w:r>
                </w:p>
              </w:tc>
            </w:tr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BE472B" w:rsidP="006C7D9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</w:t>
                  </w:r>
                  <w:r w:rsidR="006C7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proofErr w:type="spellEnd"/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535 700</w:t>
                  </w:r>
                </w:p>
              </w:tc>
            </w:tr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>( 535</w:t>
                  </w:r>
                  <w:proofErr w:type="gramEnd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700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÷</w:t>
                  </w:r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2.5)</w:t>
                  </w:r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214 280</w:t>
                  </w:r>
                </w:p>
              </w:tc>
            </w:tr>
            <w:tr w:rsidR="00BE472B" w:rsidRPr="00BC12D3" w:rsidTr="006C7D98">
              <w:tc>
                <w:tcPr>
                  <w:tcW w:w="4562" w:type="dxa"/>
                </w:tcPr>
                <w:p w:rsidR="00BE472B" w:rsidRPr="00BC12D3" w:rsidRDefault="00BE472B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4.1.2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(165 000 + 46 200 + 21 120)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½ (577 500 + 440 000 + 16 940 – 10 010)         1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232 320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   512215           1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= 45.4%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:rsidTr="006C7D98">
        <w:tc>
          <w:tcPr>
            <w:tcW w:w="9350" w:type="dxa"/>
          </w:tcPr>
          <w:p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4.1.3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440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(577 500 + 385 000  – 10 010 + 11 660 )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= 440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964 150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0.5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4.1.4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(300 520 + 40 480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214 280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= 341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214 280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1.6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DB0D48" w:rsidRDefault="00BE472B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in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1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8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2,5 : 1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0D48"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DB0D48">
              <w:rPr>
                <w:rFonts w:ascii="Arial" w:hAnsi="Arial" w:cs="Arial"/>
                <w:sz w:val="24"/>
                <w:szCs w:val="24"/>
              </w:rPr>
              <w:t>verander</w:t>
            </w:r>
            <w:proofErr w:type="spellEnd"/>
            <w:r w:rsidR="00DB0D48"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1,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to 1,6  : 1 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72B" w:rsidRPr="00BC12D3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blyk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'n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goeie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wees.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Albei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verhoudings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egter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voorraadop</w:t>
            </w:r>
            <w:r>
              <w:rPr>
                <w:rFonts w:ascii="Arial" w:hAnsi="Arial" w:cs="Arial"/>
                <w:sz w:val="24"/>
                <w:szCs w:val="24"/>
              </w:rPr>
              <w:t>hoping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swak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invordering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toekoms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tot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likiditeitsprobleme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lei.</w:t>
            </w:r>
          </w:p>
        </w:tc>
      </w:tr>
    </w:tbl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DB0D4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Dink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met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beleggingsopbrengs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DB0D48" w:rsidRDefault="00DB0D48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TWEE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om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staaf.</w:t>
            </w:r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proofErr w:type="spellEnd"/>
            <w:proofErr w:type="gramEnd"/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think that David is satisfied with his return on investment? 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David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48%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45% </w:t>
            </w:r>
          </w:p>
          <w:p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Moses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57%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61% </w:t>
            </w:r>
          </w:p>
          <w:p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43% 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0D48" w:rsidRPr="00DB0D48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Hoewel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David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moontlik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wat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het,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hy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teleurgesteld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wees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afname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toename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Moses se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B0D48" w:rsidRPr="00DB0D48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72B" w:rsidRPr="00BC12D3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Ander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faktore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: Hy het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bygedra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, maa</w:t>
            </w:r>
            <w:r>
              <w:rPr>
                <w:rFonts w:ascii="Arial" w:hAnsi="Arial" w:cs="Arial"/>
                <w:sz w:val="24"/>
                <w:szCs w:val="24"/>
              </w:rPr>
              <w:t xml:space="preserve">r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debietsaldo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.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:rsidTr="006C7D98">
        <w:tc>
          <w:tcPr>
            <w:tcW w:w="9350" w:type="dxa"/>
          </w:tcPr>
          <w:p w:rsidR="007B2902" w:rsidRDefault="00BE472B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4.4 </w:t>
            </w:r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uitbrei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r w:rsid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7B2902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E472B" w:rsidRPr="00C00865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verwysing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  <w:tr w:rsidR="00BE472B" w:rsidRPr="00BC12D3" w:rsidTr="006C7D98">
        <w:tc>
          <w:tcPr>
            <w:tcW w:w="9350" w:type="dxa"/>
          </w:tcPr>
          <w:p w:rsidR="00BE472B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72B" w:rsidRPr="00BC12D3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konstant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teen </w:t>
            </w:r>
            <w:r w:rsidR="00BE472B" w:rsidRPr="002D2E87">
              <w:rPr>
                <w:rFonts w:ascii="Arial" w:hAnsi="Arial" w:cs="Arial"/>
                <w:sz w:val="24"/>
                <w:szCs w:val="24"/>
              </w:rPr>
              <w:t>0,</w:t>
            </w:r>
            <w:proofErr w:type="gramStart"/>
            <w:r w:rsidR="00BE472B" w:rsidRPr="002D2E87">
              <w:rPr>
                <w:rFonts w:ascii="Arial" w:hAnsi="Arial" w:cs="Arial"/>
                <w:sz w:val="24"/>
                <w:szCs w:val="24"/>
              </w:rPr>
              <w:t>5 :</w:t>
            </w:r>
            <w:proofErr w:type="gramEnd"/>
            <w:r w:rsidR="00BE472B" w:rsidRPr="002D2E87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72B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43% </w:t>
            </w:r>
          </w:p>
          <w:p w:rsidR="007B2902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902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7B2902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bekostig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omdat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laagge</w:t>
            </w:r>
            <w:r>
              <w:rPr>
                <w:rFonts w:ascii="Arial" w:hAnsi="Arial" w:cs="Arial"/>
                <w:sz w:val="24"/>
                <w:szCs w:val="24"/>
              </w:rPr>
              <w:t>rat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is. </w:t>
            </w:r>
          </w:p>
          <w:p w:rsidR="007B2902" w:rsidRPr="00BC12D3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goeie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aangewend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rentekoers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positiewe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hefboomfinansiering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72B" w:rsidRPr="00BC12D3" w:rsidRDefault="007B2902" w:rsidP="007B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:rsidR="00BE472B" w:rsidRDefault="00BE472B" w:rsidP="00BE472B">
      <w:pPr>
        <w:rPr>
          <w:rFonts w:ascii="Arial" w:hAnsi="Arial" w:cs="Arial"/>
          <w:sz w:val="24"/>
          <w:szCs w:val="24"/>
        </w:rPr>
      </w:pPr>
    </w:p>
    <w:p w:rsidR="004230CB" w:rsidRDefault="004230CB" w:rsidP="00BE472B">
      <w:pPr>
        <w:rPr>
          <w:rFonts w:ascii="Arial" w:hAnsi="Arial" w:cs="Arial"/>
          <w:sz w:val="24"/>
          <w:szCs w:val="24"/>
        </w:rPr>
      </w:pPr>
    </w:p>
    <w:p w:rsidR="004230CB" w:rsidRDefault="004230CB" w:rsidP="00BE472B">
      <w:pPr>
        <w:rPr>
          <w:rFonts w:ascii="Arial" w:hAnsi="Arial" w:cs="Arial"/>
          <w:sz w:val="24"/>
          <w:szCs w:val="24"/>
        </w:rPr>
      </w:pPr>
    </w:p>
    <w:p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7E127C" w:rsidRPr="0057325C" w:rsidTr="00431BE2">
        <w:tc>
          <w:tcPr>
            <w:tcW w:w="8620" w:type="dxa"/>
            <w:gridSpan w:val="6"/>
          </w:tcPr>
          <w:p w:rsidR="007E127C" w:rsidRPr="00C9705E" w:rsidRDefault="00735F2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7E127C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:rsidTr="00431BE2">
        <w:tc>
          <w:tcPr>
            <w:tcW w:w="8620" w:type="dxa"/>
            <w:gridSpan w:val="6"/>
          </w:tcPr>
          <w:p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Tr="00431BE2">
        <w:tc>
          <w:tcPr>
            <w:tcW w:w="1918" w:type="dxa"/>
          </w:tcPr>
          <w:p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7E127C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:rsidR="007E127C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:rsidTr="00431BE2">
        <w:tc>
          <w:tcPr>
            <w:tcW w:w="3476" w:type="dxa"/>
            <w:gridSpan w:val="2"/>
          </w:tcPr>
          <w:p w:rsidR="007E127C" w:rsidRPr="000836BE" w:rsidRDefault="004230CB" w:rsidP="004230C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KLASTOETS</w:t>
            </w:r>
          </w:p>
        </w:tc>
        <w:tc>
          <w:tcPr>
            <w:tcW w:w="1558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:rsidTr="00431BE2">
        <w:tc>
          <w:tcPr>
            <w:tcW w:w="720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:rsidR="003855C1" w:rsidRPr="00300805" w:rsidRDefault="004230CB" w:rsidP="00F3035B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BEGRIPPE</w:t>
      </w:r>
    </w:p>
    <w:p w:rsidR="003855C1" w:rsidRPr="00300805" w:rsidRDefault="003855C1" w:rsidP="003855C1">
      <w:pPr>
        <w:pStyle w:val="ListParagraph"/>
        <w:ind w:left="40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0"/>
        <w:gridCol w:w="8355"/>
      </w:tblGrid>
      <w:tr w:rsidR="003855C1" w:rsidTr="003855C1">
        <w:tc>
          <w:tcPr>
            <w:tcW w:w="9355" w:type="dxa"/>
            <w:gridSpan w:val="2"/>
          </w:tcPr>
          <w:p w:rsid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Dui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volgende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stellings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WAAR of ONWAAR is.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Skryf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slegs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Onwaar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langs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vraagnommer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1.1.1 - 1.1.4 in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neer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230CB" w:rsidRP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Tr="003855C1">
        <w:tc>
          <w:tcPr>
            <w:tcW w:w="1000" w:type="dxa"/>
            <w:vAlign w:val="center"/>
          </w:tcPr>
          <w:p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8355" w:type="dxa"/>
            <w:vAlign w:val="center"/>
          </w:tcPr>
          <w:p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Onwaar</w:t>
            </w:r>
            <w:proofErr w:type="spellEnd"/>
          </w:p>
        </w:tc>
      </w:tr>
      <w:tr w:rsidR="003855C1" w:rsidTr="003855C1">
        <w:tc>
          <w:tcPr>
            <w:tcW w:w="1000" w:type="dxa"/>
            <w:vAlign w:val="center"/>
          </w:tcPr>
          <w:p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1.1.2 </w:t>
            </w:r>
          </w:p>
        </w:tc>
        <w:tc>
          <w:tcPr>
            <w:tcW w:w="8355" w:type="dxa"/>
            <w:vAlign w:val="center"/>
          </w:tcPr>
          <w:p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</w:p>
        </w:tc>
      </w:tr>
      <w:tr w:rsidR="003855C1" w:rsidTr="003855C1">
        <w:tc>
          <w:tcPr>
            <w:tcW w:w="1000" w:type="dxa"/>
            <w:vAlign w:val="center"/>
          </w:tcPr>
          <w:p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1.1.3 </w:t>
            </w:r>
          </w:p>
        </w:tc>
        <w:tc>
          <w:tcPr>
            <w:tcW w:w="8355" w:type="dxa"/>
            <w:vAlign w:val="center"/>
          </w:tcPr>
          <w:p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</w:p>
        </w:tc>
      </w:tr>
      <w:tr w:rsidR="003855C1" w:rsidTr="003855C1">
        <w:tc>
          <w:tcPr>
            <w:tcW w:w="1000" w:type="dxa"/>
            <w:vAlign w:val="center"/>
          </w:tcPr>
          <w:p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1.1.4 </w:t>
            </w:r>
          </w:p>
        </w:tc>
        <w:tc>
          <w:tcPr>
            <w:tcW w:w="8355" w:type="dxa"/>
            <w:vAlign w:val="center"/>
          </w:tcPr>
          <w:p w:rsidR="003855C1" w:rsidRPr="00300805" w:rsidRDefault="004230CB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Onwaar</w:t>
            </w:r>
            <w:proofErr w:type="spellEnd"/>
          </w:p>
        </w:tc>
      </w:tr>
    </w:tbl>
    <w:p w:rsidR="003855C1" w:rsidRDefault="003855C1" w:rsidP="003855C1">
      <w:pPr>
        <w:rPr>
          <w:rFonts w:ascii="Arial" w:hAnsi="Arial" w:cs="Arial"/>
          <w:b/>
          <w:bCs/>
          <w:sz w:val="24"/>
          <w:szCs w:val="24"/>
        </w:rPr>
      </w:pPr>
    </w:p>
    <w:p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COASTAL T</w:t>
      </w:r>
      <w:r w:rsidR="004230CB">
        <w:rPr>
          <w:rFonts w:ascii="Arial" w:hAnsi="Arial" w:cs="Arial"/>
          <w:b/>
          <w:bCs/>
          <w:sz w:val="24"/>
          <w:szCs w:val="24"/>
        </w:rPr>
        <w:t>HANDELAARS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:rsidTr="006C7D98">
        <w:tc>
          <w:tcPr>
            <w:tcW w:w="9350" w:type="dxa"/>
          </w:tcPr>
          <w:p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31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Oktober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2019.</w:t>
            </w:r>
          </w:p>
          <w:p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RPr="00BC12D3" w:rsidTr="006C7D98">
        <w:tc>
          <w:tcPr>
            <w:tcW w:w="9350" w:type="dxa"/>
          </w:tcPr>
          <w:p w:rsidR="003855C1" w:rsidRPr="004230CB" w:rsidRDefault="004230CB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betalingstermyn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krediteure</w:t>
            </w:r>
            <w:proofErr w:type="spellEnd"/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½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(192 000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+ 288 000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1 335 000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 1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240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000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1 335 000        1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66  days</w:t>
            </w:r>
            <w:proofErr w:type="gramEnd"/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:rsidTr="006C7D98">
        <w:tc>
          <w:tcPr>
            <w:tcW w:w="9350" w:type="dxa"/>
          </w:tcPr>
          <w:p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bedryfswins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verkope</w:t>
            </w:r>
            <w:proofErr w:type="spellEnd"/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427 200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2 136 000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20%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:rsidTr="006C7D98">
        <w:tc>
          <w:tcPr>
            <w:tcW w:w="9350" w:type="dxa"/>
          </w:tcPr>
          <w:p w:rsidR="003855C1" w:rsidRPr="00C00865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408 000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: 1 020 000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0.4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:rsidTr="006C7D98">
        <w:tc>
          <w:tcPr>
            <w:tcW w:w="9350" w:type="dxa"/>
          </w:tcPr>
          <w:p w:rsidR="00593A1A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Solvensieverhouding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93A1A" w:rsidRPr="00593A1A" w:rsidRDefault="00593A1A" w:rsidP="00593A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948 000</w:t>
            </w:r>
            <w:bookmarkStart w:id="0" w:name="_Hlk46150389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Pr="00BC12D3">
              <w:rPr>
                <w:rFonts w:ascii="Arial" w:hAnsi="Arial" w:cs="Arial"/>
                <w:sz w:val="24"/>
                <w:szCs w:val="24"/>
              </w:rPr>
              <w:t>+ 672 000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: 408 000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240 000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1 620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648 000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2.5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:rsidTr="006C7D98">
        <w:tc>
          <w:tcPr>
            <w:tcW w:w="9350" w:type="dxa"/>
          </w:tcPr>
          <w:p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belang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270 000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(1 020 000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+ 780 000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>)           1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270 000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900 000          1</w:t>
            </w:r>
          </w:p>
          <w:p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855C1" w:rsidRDefault="003855C1" w:rsidP="006C7D98">
            <w:pPr>
              <w:pStyle w:val="ListParagrap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30%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:rsidR="003855C1" w:rsidRPr="00E74AC7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</w:t>
      </w:r>
      <w:r w:rsidR="00507B4C" w:rsidRPr="00507B4C">
        <w:rPr>
          <w:rFonts w:ascii="Arial" w:hAnsi="Arial" w:cs="Arial"/>
          <w:b/>
          <w:bCs/>
          <w:sz w:val="24"/>
          <w:szCs w:val="24"/>
        </w:rPr>
        <w:t>VERGELYKING VAN FINANSIËLE AANWYSERS VAN TWEE ONDERNEMINGS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:rsidTr="006C7D98">
        <w:tc>
          <w:tcPr>
            <w:tcW w:w="9350" w:type="dxa"/>
          </w:tcPr>
          <w:p w:rsidR="00507B4C" w:rsidRDefault="003855C1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Mnr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. Basil is van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dat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LUNDI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beter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winsgewendheid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7B4C" w:rsidRDefault="00507B4C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bedryfsdoeltreffendheid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het.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TWEE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aanwysers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</w:p>
          <w:p w:rsidR="003855C1" w:rsidRPr="00C00865" w:rsidRDefault="00507B4C" w:rsidP="00507B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om Basil se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:rsidTr="006C7D98">
        <w:tc>
          <w:tcPr>
            <w:tcW w:w="9350" w:type="dxa"/>
          </w:tcPr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507B4C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 is 12%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>20.8%</w:t>
            </w:r>
          </w:p>
          <w:p w:rsidR="003855C1" w:rsidRPr="00BC12D3" w:rsidRDefault="003855C1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Per</w:t>
            </w:r>
            <w:r w:rsidR="00507B4C">
              <w:rPr>
                <w:rFonts w:ascii="Arial" w:hAnsi="Arial" w:cs="Arial"/>
                <w:sz w:val="24"/>
                <w:szCs w:val="24"/>
              </w:rPr>
              <w:t>sentasie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bedryfswins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is 20.6%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B4C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Pr="00BC12D3">
              <w:rPr>
                <w:rFonts w:ascii="Arial" w:hAnsi="Arial" w:cs="Arial"/>
                <w:sz w:val="24"/>
                <w:szCs w:val="24"/>
              </w:rPr>
              <w:t>16.2%</w:t>
            </w:r>
          </w:p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:rsidTr="006C7D98">
        <w:tc>
          <w:tcPr>
            <w:tcW w:w="9350" w:type="dxa"/>
          </w:tcPr>
          <w:p w:rsidR="00CA4B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Mnr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meen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JIKA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beter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likiditeitsposisie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het. Stem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A4B65" w:rsidRDefault="00CA4B65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saam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toepaslike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:rsidR="003855C1" w:rsidRPr="00C00865" w:rsidRDefault="00CA4B65" w:rsidP="00CA4B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:rsidTr="006C7D98">
        <w:tc>
          <w:tcPr>
            <w:tcW w:w="9350" w:type="dxa"/>
          </w:tcPr>
          <w:p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5C1" w:rsidRDefault="003855C1" w:rsidP="006C7D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Opin</w:t>
            </w:r>
            <w:r w:rsidR="00CA4B65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>aanwyser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>syfer</w:t>
            </w:r>
            <w:proofErr w:type="spellEnd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N</w:t>
            </w:r>
            <w:r w:rsidR="00CA4B65">
              <w:rPr>
                <w:rFonts w:ascii="Arial" w:hAnsi="Arial" w:cs="Arial"/>
                <w:sz w:val="24"/>
                <w:szCs w:val="24"/>
              </w:rPr>
              <w:t>ee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5C1" w:rsidRPr="00BC12D3" w:rsidRDefault="003855C1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Handelaar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CA4B65">
              <w:rPr>
                <w:rFonts w:ascii="Arial" w:hAnsi="Arial" w:cs="Arial"/>
                <w:sz w:val="24"/>
                <w:szCs w:val="24"/>
              </w:rPr>
              <w:t xml:space="preserve">et ‘n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beter</w:t>
            </w:r>
            <w:proofErr w:type="spellEnd"/>
            <w:r w:rsidR="00CA4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</w:p>
          <w:p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van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gramStart"/>
            <w:r w:rsidR="003855C1" w:rsidRPr="00BC12D3">
              <w:rPr>
                <w:rFonts w:ascii="Arial" w:hAnsi="Arial" w:cs="Arial"/>
                <w:sz w:val="24"/>
                <w:szCs w:val="24"/>
              </w:rPr>
              <w:t>2.1 :</w:t>
            </w:r>
            <w:proofErr w:type="gram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0.9 : 1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debiteure-invorderingsperiode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30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63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krediteure-betalingsperiode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60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>.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:rsidTr="006C7D98">
        <w:tc>
          <w:tcPr>
            <w:tcW w:w="9350" w:type="dxa"/>
          </w:tcPr>
          <w:p w:rsidR="004C16D3" w:rsidRDefault="003855C1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 </w:t>
            </w:r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. In </w:t>
            </w:r>
          </w:p>
          <w:p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855C1" w:rsidRPr="00C00865" w:rsidRDefault="004C16D3" w:rsidP="004C16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4C16D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855C1" w:rsidRPr="00BC12D3" w:rsidTr="006C7D98">
        <w:tc>
          <w:tcPr>
            <w:tcW w:w="9350" w:type="dxa"/>
          </w:tcPr>
          <w:p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:rsidR="004C16D3" w:rsidRDefault="004C16D3" w:rsidP="004C16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:rsidR="004C16D3" w:rsidRDefault="004C16D3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:rsidR="004C16D3" w:rsidRPr="004C16D3" w:rsidRDefault="004C16D3" w:rsidP="00F3035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C16D3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is 21,4%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met Jika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, wat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12% is </w:t>
            </w:r>
            <w:r w:rsidRPr="00D1770E">
              <w:rPr>
                <w:color w:val="000000"/>
              </w:rPr>
              <w:sym w:font="Wingdings" w:char="F0FC"/>
            </w:r>
          </w:p>
          <w:p w:rsidR="004C16D3" w:rsidRPr="004C16D3" w:rsidRDefault="004C16D3" w:rsidP="00F3035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C16D3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van 21,4%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bv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vaste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deposito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8</w:t>
            </w:r>
            <w:proofErr w:type="gramStart"/>
            <w:r w:rsidRPr="004C16D3">
              <w:rPr>
                <w:rFonts w:ascii="Arial" w:hAnsi="Arial" w:cs="Arial"/>
                <w:sz w:val="24"/>
                <w:szCs w:val="24"/>
              </w:rPr>
              <w:t>% .</w:t>
            </w:r>
            <w:proofErr w:type="gramEnd"/>
            <w:r w:rsidRPr="004C16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70E">
              <w:rPr>
                <w:color w:val="000000"/>
              </w:rPr>
              <w:sym w:font="Wingdings" w:char="F0FC"/>
            </w:r>
          </w:p>
          <w:p w:rsidR="003855C1" w:rsidRPr="00BC12D3" w:rsidRDefault="003855C1" w:rsidP="004C16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:rsidR="003855C1" w:rsidRDefault="003855C1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38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5CF8" w:rsidRDefault="00D05CF8" w:rsidP="00BE1BB2">
      <w:pPr>
        <w:spacing w:after="0" w:line="240" w:lineRule="auto"/>
      </w:pPr>
      <w:r>
        <w:separator/>
      </w:r>
    </w:p>
  </w:endnote>
  <w:endnote w:type="continuationSeparator" w:id="0">
    <w:p w:rsidR="00D05CF8" w:rsidRDefault="00D05CF8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5CF8" w:rsidRDefault="00D05CF8" w:rsidP="00BE1BB2">
      <w:pPr>
        <w:spacing w:after="0" w:line="240" w:lineRule="auto"/>
      </w:pPr>
      <w:r>
        <w:separator/>
      </w:r>
    </w:p>
  </w:footnote>
  <w:footnote w:type="continuationSeparator" w:id="0">
    <w:p w:rsidR="00D05CF8" w:rsidRDefault="00D05CF8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B0D"/>
    <w:multiLevelType w:val="hybridMultilevel"/>
    <w:tmpl w:val="7F3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CF6"/>
    <w:multiLevelType w:val="hybridMultilevel"/>
    <w:tmpl w:val="1B4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67E6"/>
    <w:multiLevelType w:val="hybridMultilevel"/>
    <w:tmpl w:val="7DFE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65AF"/>
    <w:multiLevelType w:val="hybridMultilevel"/>
    <w:tmpl w:val="4E18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7B2A"/>
    <w:multiLevelType w:val="hybridMultilevel"/>
    <w:tmpl w:val="AD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979"/>
    <w:multiLevelType w:val="hybridMultilevel"/>
    <w:tmpl w:val="5B5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3438"/>
    <w:multiLevelType w:val="hybridMultilevel"/>
    <w:tmpl w:val="B4C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7DD1"/>
    <w:multiLevelType w:val="hybridMultilevel"/>
    <w:tmpl w:val="3CE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4498"/>
    <w:multiLevelType w:val="multilevel"/>
    <w:tmpl w:val="8006D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8867A6"/>
    <w:multiLevelType w:val="hybridMultilevel"/>
    <w:tmpl w:val="A03C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7FFD"/>
    <w:multiLevelType w:val="hybridMultilevel"/>
    <w:tmpl w:val="D1C4F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91340F"/>
    <w:multiLevelType w:val="hybridMultilevel"/>
    <w:tmpl w:val="B290D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50835"/>
    <w:multiLevelType w:val="hybridMultilevel"/>
    <w:tmpl w:val="114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F347E"/>
    <w:multiLevelType w:val="hybridMultilevel"/>
    <w:tmpl w:val="B7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721"/>
    <w:multiLevelType w:val="hybridMultilevel"/>
    <w:tmpl w:val="C85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2BB"/>
    <w:multiLevelType w:val="hybridMultilevel"/>
    <w:tmpl w:val="8BE8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1ED3"/>
    <w:rsid w:val="00022883"/>
    <w:rsid w:val="00025825"/>
    <w:rsid w:val="00026DA5"/>
    <w:rsid w:val="000320FF"/>
    <w:rsid w:val="00032705"/>
    <w:rsid w:val="00033D33"/>
    <w:rsid w:val="0005282A"/>
    <w:rsid w:val="000813D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320C"/>
    <w:rsid w:val="00136980"/>
    <w:rsid w:val="00140ECB"/>
    <w:rsid w:val="00145600"/>
    <w:rsid w:val="00146652"/>
    <w:rsid w:val="00156C5E"/>
    <w:rsid w:val="00166EC7"/>
    <w:rsid w:val="00175D3F"/>
    <w:rsid w:val="00183BBA"/>
    <w:rsid w:val="00190B79"/>
    <w:rsid w:val="001962F3"/>
    <w:rsid w:val="00197DAA"/>
    <w:rsid w:val="001A6FB6"/>
    <w:rsid w:val="001B2092"/>
    <w:rsid w:val="001D0869"/>
    <w:rsid w:val="001D1BF0"/>
    <w:rsid w:val="001E2BB4"/>
    <w:rsid w:val="001F0EA9"/>
    <w:rsid w:val="002027EA"/>
    <w:rsid w:val="0021247A"/>
    <w:rsid w:val="00214BF4"/>
    <w:rsid w:val="00221AF6"/>
    <w:rsid w:val="002266BD"/>
    <w:rsid w:val="00235EE8"/>
    <w:rsid w:val="002373EF"/>
    <w:rsid w:val="002424BB"/>
    <w:rsid w:val="00243E47"/>
    <w:rsid w:val="002452E0"/>
    <w:rsid w:val="00245B26"/>
    <w:rsid w:val="002758FE"/>
    <w:rsid w:val="00282E7C"/>
    <w:rsid w:val="00295331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75321"/>
    <w:rsid w:val="003855C1"/>
    <w:rsid w:val="0039445E"/>
    <w:rsid w:val="003B1527"/>
    <w:rsid w:val="003B4070"/>
    <w:rsid w:val="003B6850"/>
    <w:rsid w:val="003D1351"/>
    <w:rsid w:val="003D2DAF"/>
    <w:rsid w:val="003D335B"/>
    <w:rsid w:val="003F79D7"/>
    <w:rsid w:val="00402011"/>
    <w:rsid w:val="004076FA"/>
    <w:rsid w:val="00407837"/>
    <w:rsid w:val="00415F96"/>
    <w:rsid w:val="004160EA"/>
    <w:rsid w:val="0042125A"/>
    <w:rsid w:val="004217C7"/>
    <w:rsid w:val="004230CB"/>
    <w:rsid w:val="00425292"/>
    <w:rsid w:val="00425DFA"/>
    <w:rsid w:val="00426FAE"/>
    <w:rsid w:val="00431BE2"/>
    <w:rsid w:val="00435FD6"/>
    <w:rsid w:val="00443597"/>
    <w:rsid w:val="004549C3"/>
    <w:rsid w:val="004670BE"/>
    <w:rsid w:val="004702F8"/>
    <w:rsid w:val="00472E18"/>
    <w:rsid w:val="00474785"/>
    <w:rsid w:val="00477E31"/>
    <w:rsid w:val="0049280A"/>
    <w:rsid w:val="004A686C"/>
    <w:rsid w:val="004C16D3"/>
    <w:rsid w:val="004C744B"/>
    <w:rsid w:val="004D3A78"/>
    <w:rsid w:val="004E5AE0"/>
    <w:rsid w:val="004E7325"/>
    <w:rsid w:val="004F2637"/>
    <w:rsid w:val="00500AE7"/>
    <w:rsid w:val="00501C92"/>
    <w:rsid w:val="0050377E"/>
    <w:rsid w:val="00507B4C"/>
    <w:rsid w:val="00511B49"/>
    <w:rsid w:val="00515CD6"/>
    <w:rsid w:val="005327D6"/>
    <w:rsid w:val="00534EDF"/>
    <w:rsid w:val="00555E44"/>
    <w:rsid w:val="00557696"/>
    <w:rsid w:val="00561B05"/>
    <w:rsid w:val="00575F05"/>
    <w:rsid w:val="00582A6F"/>
    <w:rsid w:val="0058509A"/>
    <w:rsid w:val="00593A1A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1FEF"/>
    <w:rsid w:val="00693AA5"/>
    <w:rsid w:val="0069440C"/>
    <w:rsid w:val="006A5E2A"/>
    <w:rsid w:val="006B5B22"/>
    <w:rsid w:val="006B7B95"/>
    <w:rsid w:val="006C1438"/>
    <w:rsid w:val="006C56E3"/>
    <w:rsid w:val="006C7D98"/>
    <w:rsid w:val="006D068D"/>
    <w:rsid w:val="006D2FAB"/>
    <w:rsid w:val="006D6DD4"/>
    <w:rsid w:val="006D7992"/>
    <w:rsid w:val="006F2FBB"/>
    <w:rsid w:val="00702F8A"/>
    <w:rsid w:val="007126B5"/>
    <w:rsid w:val="00721D00"/>
    <w:rsid w:val="007264D2"/>
    <w:rsid w:val="00730784"/>
    <w:rsid w:val="00735F2C"/>
    <w:rsid w:val="00750958"/>
    <w:rsid w:val="00751A89"/>
    <w:rsid w:val="00751E79"/>
    <w:rsid w:val="00753E11"/>
    <w:rsid w:val="00780DA9"/>
    <w:rsid w:val="00787C72"/>
    <w:rsid w:val="007925E4"/>
    <w:rsid w:val="007B0C1F"/>
    <w:rsid w:val="007B2902"/>
    <w:rsid w:val="007C6802"/>
    <w:rsid w:val="007D18DF"/>
    <w:rsid w:val="007D2B8D"/>
    <w:rsid w:val="007D55D5"/>
    <w:rsid w:val="007E02C1"/>
    <w:rsid w:val="007E127C"/>
    <w:rsid w:val="007F2514"/>
    <w:rsid w:val="00804729"/>
    <w:rsid w:val="00811206"/>
    <w:rsid w:val="00837579"/>
    <w:rsid w:val="00847672"/>
    <w:rsid w:val="00862F41"/>
    <w:rsid w:val="00870007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27416"/>
    <w:rsid w:val="00933F7A"/>
    <w:rsid w:val="00937D5C"/>
    <w:rsid w:val="0094172D"/>
    <w:rsid w:val="00942493"/>
    <w:rsid w:val="0094392C"/>
    <w:rsid w:val="009464CC"/>
    <w:rsid w:val="00953D8A"/>
    <w:rsid w:val="00955212"/>
    <w:rsid w:val="00967D59"/>
    <w:rsid w:val="009746C3"/>
    <w:rsid w:val="00974DD1"/>
    <w:rsid w:val="00992412"/>
    <w:rsid w:val="009938B3"/>
    <w:rsid w:val="009A09E1"/>
    <w:rsid w:val="009B0616"/>
    <w:rsid w:val="009B56A4"/>
    <w:rsid w:val="009D446C"/>
    <w:rsid w:val="009E1627"/>
    <w:rsid w:val="00A15650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F13"/>
    <w:rsid w:val="00AF37CD"/>
    <w:rsid w:val="00AF7392"/>
    <w:rsid w:val="00B01F2D"/>
    <w:rsid w:val="00B20478"/>
    <w:rsid w:val="00B22ED1"/>
    <w:rsid w:val="00B24228"/>
    <w:rsid w:val="00B347FF"/>
    <w:rsid w:val="00B3508A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E472B"/>
    <w:rsid w:val="00BF1C56"/>
    <w:rsid w:val="00C02336"/>
    <w:rsid w:val="00C05F83"/>
    <w:rsid w:val="00C12A4D"/>
    <w:rsid w:val="00C133F4"/>
    <w:rsid w:val="00C338FC"/>
    <w:rsid w:val="00C3402C"/>
    <w:rsid w:val="00C47E47"/>
    <w:rsid w:val="00C57285"/>
    <w:rsid w:val="00C6490C"/>
    <w:rsid w:val="00C64F2E"/>
    <w:rsid w:val="00C70204"/>
    <w:rsid w:val="00C72033"/>
    <w:rsid w:val="00C81839"/>
    <w:rsid w:val="00C9111E"/>
    <w:rsid w:val="00C9705E"/>
    <w:rsid w:val="00CA4B65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E1B96"/>
    <w:rsid w:val="00CE4672"/>
    <w:rsid w:val="00CF052B"/>
    <w:rsid w:val="00CF0973"/>
    <w:rsid w:val="00CF52C6"/>
    <w:rsid w:val="00D013FA"/>
    <w:rsid w:val="00D02E8B"/>
    <w:rsid w:val="00D05CF8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4ECA"/>
    <w:rsid w:val="00DA58E5"/>
    <w:rsid w:val="00DA5C86"/>
    <w:rsid w:val="00DB0D48"/>
    <w:rsid w:val="00DB0DF5"/>
    <w:rsid w:val="00DB343D"/>
    <w:rsid w:val="00DD10CB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42B7"/>
    <w:rsid w:val="00EE0C2D"/>
    <w:rsid w:val="00EF1870"/>
    <w:rsid w:val="00F14162"/>
    <w:rsid w:val="00F2007B"/>
    <w:rsid w:val="00F3035B"/>
    <w:rsid w:val="00F4592F"/>
    <w:rsid w:val="00F4701E"/>
    <w:rsid w:val="00F518C5"/>
    <w:rsid w:val="00F63B48"/>
    <w:rsid w:val="00F67D29"/>
    <w:rsid w:val="00F74C6E"/>
    <w:rsid w:val="00F779C0"/>
    <w:rsid w:val="00FB03BB"/>
    <w:rsid w:val="00FB0F00"/>
    <w:rsid w:val="00FB2642"/>
    <w:rsid w:val="00FC2904"/>
    <w:rsid w:val="00FC4A10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1</cp:revision>
  <dcterms:created xsi:type="dcterms:W3CDTF">2020-09-04T14:41:00Z</dcterms:created>
  <dcterms:modified xsi:type="dcterms:W3CDTF">2020-09-04T14:41:00Z</dcterms:modified>
</cp:coreProperties>
</file>