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5A1AD4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5A1AD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A1AD4" w:rsidRPr="005A1AD4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1A5CB0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29202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OPERATIONS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346BFF" w:rsidRPr="00C144C6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91352F" w:rsidRDefault="00C144C6" w:rsidP="00A45D8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44C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A92DBB" w:rsidRPr="00C144C6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0B1A6B" w:rsidRPr="00C144C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Pr="00C144C6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320F2C" w:rsidRPr="00C144C6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Pr="00C144C6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776"/>
        <w:gridCol w:w="9664"/>
        <w:gridCol w:w="810"/>
      </w:tblGrid>
      <w:tr w:rsidR="00AD6F9E" w:rsidRPr="000E15EF" w:rsidTr="00AD6F9E">
        <w:trPr>
          <w:trHeight w:val="283"/>
        </w:trPr>
        <w:tc>
          <w:tcPr>
            <w:tcW w:w="11880" w:type="dxa"/>
            <w:gridSpan w:val="4"/>
          </w:tcPr>
          <w:p w:rsidR="00AD6F9E" w:rsidRPr="000E15EF" w:rsidRDefault="00AD6F9E" w:rsidP="00755AEE">
            <w:pPr>
              <w:rPr>
                <w:b/>
              </w:rPr>
            </w:pPr>
          </w:p>
          <w:p w:rsidR="00AD6F9E" w:rsidRPr="000E15EF" w:rsidRDefault="00AD6F9E" w:rsidP="00755AEE">
            <w:pPr>
              <w:rPr>
                <w:b/>
              </w:rPr>
            </w:pPr>
            <w:r w:rsidRPr="000E15EF">
              <w:rPr>
                <w:b/>
              </w:rPr>
              <w:t xml:space="preserve">QUESTION 1:  BUSINESS OPERATIONS      </w:t>
            </w:r>
          </w:p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162"/>
        </w:trPr>
        <w:tc>
          <w:tcPr>
            <w:tcW w:w="551" w:type="dxa"/>
          </w:tcPr>
          <w:p w:rsidR="00AD6F9E" w:rsidRPr="000E15EF" w:rsidRDefault="00AD6F9E" w:rsidP="00755AEE">
            <w:r w:rsidRPr="000E15EF">
              <w:t>1.1</w:t>
            </w:r>
          </w:p>
        </w:tc>
        <w:tc>
          <w:tcPr>
            <w:tcW w:w="11329" w:type="dxa"/>
            <w:gridSpan w:val="3"/>
          </w:tcPr>
          <w:p w:rsidR="00AD6F9E" w:rsidRPr="000E15EF" w:rsidRDefault="00AD6F9E" w:rsidP="00755AEE">
            <w:r w:rsidRPr="000E15EF">
              <w:t>Identify the business function that is responsible for improving the quality of performance in EACH statement below:</w:t>
            </w:r>
          </w:p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16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1.1.1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r w:rsidRPr="000E15EF">
              <w:t>Pete (Pty) Ltd is not able to identify suitable suppliers who would be able to source and deliver quality goods and services.</w:t>
            </w:r>
          </w:p>
        </w:tc>
        <w:tc>
          <w:tcPr>
            <w:tcW w:w="810" w:type="dxa"/>
          </w:tcPr>
          <w:p w:rsidR="00AD6F9E" w:rsidRPr="000E15EF" w:rsidRDefault="00AD6F9E" w:rsidP="00755AEE">
            <w:r w:rsidRPr="000E15EF">
              <w:t>(2)</w:t>
            </w:r>
          </w:p>
        </w:tc>
      </w:tr>
      <w:tr w:rsidR="00AD6F9E" w:rsidRPr="000E15EF" w:rsidTr="00AD6F9E">
        <w:trPr>
          <w:trHeight w:val="16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/>
        </w:tc>
        <w:tc>
          <w:tcPr>
            <w:tcW w:w="10440" w:type="dxa"/>
            <w:gridSpan w:val="2"/>
          </w:tcPr>
          <w:p w:rsidR="00AD6F9E" w:rsidRPr="000E15EF" w:rsidRDefault="00AD6F9E" w:rsidP="00755AEE"/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16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1.1.2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r w:rsidRPr="000E15EF">
              <w:t>The Pay As You Earn of Aqua Ltd are not accurately calculated and the payments are made late.</w:t>
            </w:r>
          </w:p>
        </w:tc>
        <w:tc>
          <w:tcPr>
            <w:tcW w:w="810" w:type="dxa"/>
          </w:tcPr>
          <w:p w:rsidR="00AD6F9E" w:rsidRPr="000E15EF" w:rsidRDefault="00AD6F9E" w:rsidP="00755AEE">
            <w:r w:rsidRPr="000E15EF">
              <w:t>(2)</w:t>
            </w:r>
          </w:p>
        </w:tc>
      </w:tr>
      <w:tr w:rsidR="00AD6F9E" w:rsidRPr="000E15EF" w:rsidTr="00AD6F9E">
        <w:trPr>
          <w:trHeight w:val="16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/>
        </w:tc>
        <w:tc>
          <w:tcPr>
            <w:tcW w:w="776" w:type="dxa"/>
          </w:tcPr>
          <w:p w:rsidR="00AD6F9E" w:rsidRPr="000E15EF" w:rsidRDefault="00AD6F9E" w:rsidP="00755AEE"/>
        </w:tc>
        <w:tc>
          <w:tcPr>
            <w:tcW w:w="9664" w:type="dxa"/>
          </w:tcPr>
          <w:p w:rsidR="00AD6F9E" w:rsidRPr="000E15EF" w:rsidRDefault="00AD6F9E" w:rsidP="00755AEE"/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283"/>
        </w:trPr>
        <w:tc>
          <w:tcPr>
            <w:tcW w:w="551" w:type="dxa"/>
          </w:tcPr>
          <w:p w:rsidR="00AD6F9E" w:rsidRPr="000E15EF" w:rsidRDefault="00AD6F9E" w:rsidP="00755AEE">
            <w:r w:rsidRPr="000E15EF">
              <w:t>1.2</w:t>
            </w:r>
          </w:p>
        </w:tc>
        <w:tc>
          <w:tcPr>
            <w:tcW w:w="11329" w:type="dxa"/>
            <w:gridSpan w:val="3"/>
            <w:tcBorders>
              <w:right w:val="single" w:sz="4" w:space="0" w:color="auto"/>
            </w:tcBorders>
          </w:tcPr>
          <w:p w:rsidR="00AD6F9E" w:rsidRPr="000E15EF" w:rsidRDefault="00AD6F9E" w:rsidP="00755AEE">
            <w:r w:rsidRPr="000E15EF">
              <w:t>Identify the total quality management (TQM) element applied by Imvelo Logistics in EACH case below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AD6F9E" w:rsidRPr="000E15EF" w:rsidRDefault="00AD6F9E" w:rsidP="00755AEE"/>
        </w:tc>
      </w:tr>
      <w:tr w:rsidR="00AD6F9E" w:rsidRPr="000E15EF" w:rsidTr="00AD6F9E">
        <w:trPr>
          <w:trHeight w:val="170"/>
        </w:trPr>
        <w:tc>
          <w:tcPr>
            <w:tcW w:w="551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889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</w:tr>
      <w:tr w:rsidR="00AD6F9E" w:rsidRPr="000E15EF" w:rsidTr="00AD6F9E">
        <w:trPr>
          <w:trHeight w:val="34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1.2.1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pPr>
              <w:jc w:val="both"/>
            </w:pPr>
            <w:r w:rsidRPr="000E15EF">
              <w:t xml:space="preserve">Regular market research is conducted to determine the needs of consumers.  </w:t>
            </w:r>
          </w:p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170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/>
        </w:tc>
        <w:tc>
          <w:tcPr>
            <w:tcW w:w="10440" w:type="dxa"/>
            <w:gridSpan w:val="2"/>
          </w:tcPr>
          <w:p w:rsidR="00AD6F9E" w:rsidRPr="000E15EF" w:rsidRDefault="00AD6F9E" w:rsidP="00755AEE"/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34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1.2.2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r w:rsidRPr="000E15EF">
              <w:t>Sufficient capital and equipment are available to render quality service.</w:t>
            </w:r>
          </w:p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170"/>
        </w:trPr>
        <w:tc>
          <w:tcPr>
            <w:tcW w:w="551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889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D6F9E" w:rsidRPr="000E15EF" w:rsidRDefault="00AD6F9E" w:rsidP="00755AEE">
            <w:pPr>
              <w:rPr>
                <w:sz w:val="20"/>
              </w:rPr>
            </w:pPr>
          </w:p>
        </w:tc>
      </w:tr>
      <w:tr w:rsidR="00AD6F9E" w:rsidRPr="000E15EF" w:rsidTr="00AD6F9E">
        <w:trPr>
          <w:trHeight w:val="342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1.2.3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r w:rsidRPr="000E15EF">
              <w:t xml:space="preserve">Employees are regularly trained to use the latest technology.         </w:t>
            </w:r>
          </w:p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283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/>
        </w:tc>
        <w:tc>
          <w:tcPr>
            <w:tcW w:w="10440" w:type="dxa"/>
            <w:gridSpan w:val="2"/>
          </w:tcPr>
          <w:p w:rsidR="00AD6F9E" w:rsidRPr="000E15EF" w:rsidRDefault="00AD6F9E" w:rsidP="00755AEE"/>
        </w:tc>
        <w:tc>
          <w:tcPr>
            <w:tcW w:w="810" w:type="dxa"/>
          </w:tcPr>
          <w:p w:rsidR="00AD6F9E" w:rsidRPr="000E15EF" w:rsidRDefault="00AD6F9E" w:rsidP="00755AEE"/>
        </w:tc>
      </w:tr>
      <w:tr w:rsidR="00AD6F9E" w:rsidRPr="000E15EF" w:rsidTr="00AD6F9E">
        <w:trPr>
          <w:trHeight w:val="283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889" w:type="dxa"/>
          </w:tcPr>
          <w:p w:rsidR="00AD6F9E" w:rsidRPr="000E15EF" w:rsidRDefault="00AD6F9E" w:rsidP="00755AEE">
            <w:r w:rsidRPr="000E15EF">
              <w:t>1.4.4</w:t>
            </w:r>
          </w:p>
        </w:tc>
        <w:tc>
          <w:tcPr>
            <w:tcW w:w="10440" w:type="dxa"/>
            <w:gridSpan w:val="2"/>
          </w:tcPr>
          <w:p w:rsidR="00AD6F9E" w:rsidRPr="000E15EF" w:rsidRDefault="00AD6F9E" w:rsidP="00755AEE">
            <w:r w:rsidRPr="000E15EF">
              <w:t xml:space="preserve">The CEO participates in decision-making at all levels of the company.  </w:t>
            </w:r>
            <w:r w:rsidR="00CC277B">
              <w:t xml:space="preserve">    (4 </w:t>
            </w:r>
          </w:p>
        </w:tc>
        <w:tc>
          <w:tcPr>
            <w:tcW w:w="810" w:type="dxa"/>
          </w:tcPr>
          <w:p w:rsidR="00AD6F9E" w:rsidRPr="000E15EF" w:rsidRDefault="00AD6F9E" w:rsidP="00755AEE">
            <w:r w:rsidRPr="000E15EF">
              <w:t>(8)</w:t>
            </w:r>
          </w:p>
        </w:tc>
      </w:tr>
      <w:tr w:rsidR="00AD6F9E" w:rsidRPr="000E15EF" w:rsidTr="00AD6F9E">
        <w:trPr>
          <w:trHeight w:val="283"/>
        </w:trPr>
        <w:tc>
          <w:tcPr>
            <w:tcW w:w="551" w:type="dxa"/>
          </w:tcPr>
          <w:p w:rsidR="00AD6F9E" w:rsidRPr="000E15EF" w:rsidRDefault="00AD6F9E" w:rsidP="00755AEE">
            <w:pPr>
              <w:rPr>
                <w:highlight w:val="cyan"/>
              </w:rPr>
            </w:pPr>
            <w:r w:rsidRPr="000E15EF">
              <w:t>1.3</w:t>
            </w:r>
          </w:p>
        </w:tc>
        <w:tc>
          <w:tcPr>
            <w:tcW w:w="11329" w:type="dxa"/>
            <w:gridSpan w:val="3"/>
          </w:tcPr>
          <w:p w:rsidR="00AD6F9E" w:rsidRPr="000E15EF" w:rsidRDefault="00AD6F9E" w:rsidP="00755A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15EF">
              <w:rPr>
                <w:rFonts w:eastAsia="Calibri"/>
              </w:rPr>
              <w:t xml:space="preserve">Discuss the negative impact on businesses if TQM is poorly implemented.   </w:t>
            </w:r>
          </w:p>
        </w:tc>
        <w:tc>
          <w:tcPr>
            <w:tcW w:w="810" w:type="dxa"/>
          </w:tcPr>
          <w:p w:rsidR="00AD6F9E" w:rsidRPr="000E15EF" w:rsidRDefault="00AD6F9E" w:rsidP="00755AEE">
            <w:r w:rsidRPr="000E15EF">
              <w:t>(8)</w:t>
            </w:r>
          </w:p>
        </w:tc>
      </w:tr>
      <w:tr w:rsidR="00AD6F9E" w:rsidRPr="000E15EF" w:rsidTr="00AD6F9E">
        <w:trPr>
          <w:trHeight w:val="283"/>
        </w:trPr>
        <w:tc>
          <w:tcPr>
            <w:tcW w:w="551" w:type="dxa"/>
          </w:tcPr>
          <w:p w:rsidR="00AD6F9E" w:rsidRPr="000E15EF" w:rsidRDefault="00AD6F9E" w:rsidP="00755AEE"/>
        </w:tc>
        <w:tc>
          <w:tcPr>
            <w:tcW w:w="11329" w:type="dxa"/>
            <w:gridSpan w:val="3"/>
          </w:tcPr>
          <w:p w:rsidR="00AD6F9E" w:rsidRPr="000E15EF" w:rsidRDefault="00AD6F9E" w:rsidP="00755A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10" w:type="dxa"/>
          </w:tcPr>
          <w:p w:rsidR="00AD6F9E" w:rsidRPr="000E15EF" w:rsidRDefault="00AD6F9E" w:rsidP="00755AEE">
            <w:pPr>
              <w:rPr>
                <w:b/>
              </w:rPr>
            </w:pPr>
            <w:r w:rsidRPr="000E15EF">
              <w:rPr>
                <w:b/>
              </w:rPr>
              <w:t>[20]</w:t>
            </w:r>
          </w:p>
        </w:tc>
      </w:tr>
    </w:tbl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tbl>
      <w:tblPr>
        <w:tblStyle w:val="TableGrid4"/>
        <w:tblW w:w="12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92"/>
        <w:gridCol w:w="18"/>
        <w:gridCol w:w="10530"/>
        <w:gridCol w:w="810"/>
      </w:tblGrid>
      <w:tr w:rsidR="000E15EF" w:rsidRPr="000E15EF" w:rsidTr="00AD6F9E">
        <w:trPr>
          <w:trHeight w:val="283"/>
        </w:trPr>
        <w:tc>
          <w:tcPr>
            <w:tcW w:w="11970" w:type="dxa"/>
            <w:gridSpan w:val="4"/>
          </w:tcPr>
          <w:p w:rsidR="00AA44A7" w:rsidRPr="008D49F5" w:rsidRDefault="00AA44A7" w:rsidP="00755AEE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D49F5">
              <w:rPr>
                <w:rFonts w:eastAsia="Calibri"/>
                <w:b/>
              </w:rPr>
              <w:t xml:space="preserve">QUESTION 2:  BUSINESS OPERATIONS      </w:t>
            </w:r>
          </w:p>
        </w:tc>
        <w:tc>
          <w:tcPr>
            <w:tcW w:w="810" w:type="dxa"/>
          </w:tcPr>
          <w:p w:rsidR="00AA44A7" w:rsidRPr="000E15EF" w:rsidRDefault="00AA44A7" w:rsidP="00755AEE"/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755AEE" w:rsidRPr="000E15EF" w:rsidRDefault="00AA44A7" w:rsidP="00755AEE">
            <w:r w:rsidRPr="000E15EF">
              <w:t>2.1</w:t>
            </w:r>
          </w:p>
        </w:tc>
        <w:tc>
          <w:tcPr>
            <w:tcW w:w="11340" w:type="dxa"/>
            <w:gridSpan w:val="3"/>
          </w:tcPr>
          <w:p w:rsidR="00755AEE" w:rsidRPr="000E15EF" w:rsidRDefault="00043225" w:rsidP="00755AE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Read the scenario below and answer the questions that follow.</w:t>
            </w:r>
          </w:p>
        </w:tc>
        <w:tc>
          <w:tcPr>
            <w:tcW w:w="810" w:type="dxa"/>
          </w:tcPr>
          <w:p w:rsidR="00755AEE" w:rsidRPr="000E15EF" w:rsidRDefault="00755AEE" w:rsidP="00755AEE"/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755AEE" w:rsidRPr="000E15EF" w:rsidRDefault="00755AEE" w:rsidP="00755AEE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:rsidR="00755AEE" w:rsidRPr="000E15EF" w:rsidRDefault="00755AEE" w:rsidP="00755AEE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755AEE" w:rsidRPr="000E15EF" w:rsidRDefault="00755AEE" w:rsidP="00755AEE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  <w:tcBorders>
              <w:right w:val="single" w:sz="4" w:space="0" w:color="auto"/>
            </w:tcBorders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11340" w:type="dxa"/>
            <w:gridSpan w:val="3"/>
          </w:tcPr>
          <w:p w:rsidR="00043225" w:rsidRPr="000E15EF" w:rsidRDefault="00043225" w:rsidP="00043225"/>
          <w:p w:rsidR="00043225" w:rsidRPr="000E15EF" w:rsidRDefault="00043225" w:rsidP="00043225">
            <w:pPr>
              <w:jc w:val="center"/>
              <w:rPr>
                <w:b/>
              </w:rPr>
            </w:pPr>
            <w:r w:rsidRPr="000E15EF">
              <w:rPr>
                <w:b/>
              </w:rPr>
              <w:t>EXCLUSIVE CLOTHING ENTERPRISE (ECE)</w:t>
            </w:r>
          </w:p>
          <w:p w:rsidR="00043225" w:rsidRPr="000E15EF" w:rsidRDefault="00043225" w:rsidP="00043225">
            <w:r w:rsidRPr="000E15EF">
              <w:t xml:space="preserve"> </w:t>
            </w:r>
          </w:p>
          <w:p w:rsidR="00043225" w:rsidRPr="000E15EF" w:rsidRDefault="00043225" w:rsidP="00043225">
            <w:r w:rsidRPr="000E15EF">
              <w:t>Zinhle is the owner of Exclusive Clothing Ent</w:t>
            </w:r>
            <w:r w:rsidR="00C144C6" w:rsidRPr="000E15EF">
              <w:t xml:space="preserve">erprise. She was requested </w:t>
            </w:r>
            <w:r w:rsidRPr="000E15EF">
              <w:t>to share ideas on how she maintains the high quality standard of her products. She indicated that her employees are trained on a regular basis. Time and resources are also used efficiently.</w:t>
            </w:r>
          </w:p>
          <w:p w:rsidR="00043225" w:rsidRPr="000E15EF" w:rsidRDefault="00043225" w:rsidP="00043225"/>
        </w:tc>
        <w:tc>
          <w:tcPr>
            <w:tcW w:w="810" w:type="dxa"/>
            <w:tcBorders>
              <w:left w:val="single" w:sz="4" w:space="0" w:color="auto"/>
            </w:tcBorders>
          </w:tcPr>
          <w:p w:rsidR="00043225" w:rsidRPr="000E15EF" w:rsidRDefault="00043225" w:rsidP="00043225"/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</w:tcBorders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  <w:gridSpan w:val="3"/>
          </w:tcPr>
          <w:p w:rsidR="00043225" w:rsidRPr="00CC277B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277B">
              <w:rPr>
                <w:rFonts w:eastAsia="Calibri"/>
              </w:rPr>
              <w:t>Describe how quality of performance in the following business functions can contribute to the success of a business:</w:t>
            </w: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340" w:type="dxa"/>
            <w:gridSpan w:val="3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AA44A7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2.1</w:t>
            </w:r>
            <w:r w:rsidR="00043225" w:rsidRPr="000E15EF">
              <w:rPr>
                <w:rFonts w:eastAsia="Calibri"/>
              </w:rPr>
              <w:t>.1</w:t>
            </w:r>
          </w:p>
        </w:tc>
        <w:tc>
          <w:tcPr>
            <w:tcW w:w="10548" w:type="dxa"/>
            <w:gridSpan w:val="2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 xml:space="preserve">Quote TWO benefits of a good quality management system from the scenario above.  </w:t>
            </w:r>
          </w:p>
        </w:tc>
        <w:tc>
          <w:tcPr>
            <w:tcW w:w="810" w:type="dxa"/>
          </w:tcPr>
          <w:p w:rsidR="00043225" w:rsidRPr="000E15EF" w:rsidRDefault="00043225" w:rsidP="00043225">
            <w:r w:rsidRPr="000E15EF">
              <w:t>(2)</w:t>
            </w:r>
          </w:p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0548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AA44A7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2.1</w:t>
            </w:r>
            <w:r w:rsidR="00043225" w:rsidRPr="000E15EF">
              <w:rPr>
                <w:rFonts w:eastAsia="Calibri"/>
              </w:rPr>
              <w:t>.2</w:t>
            </w:r>
          </w:p>
        </w:tc>
        <w:tc>
          <w:tcPr>
            <w:tcW w:w="10548" w:type="dxa"/>
            <w:gridSpan w:val="2"/>
          </w:tcPr>
          <w:p w:rsidR="00043225" w:rsidRPr="000E15EF" w:rsidRDefault="00043225" w:rsidP="00043225">
            <w:pPr>
              <w:jc w:val="both"/>
            </w:pPr>
            <w:r w:rsidRPr="000E15EF">
              <w:t xml:space="preserve">Explain to Zinhle other benefits of a good quality management system.                         </w:t>
            </w:r>
          </w:p>
        </w:tc>
        <w:tc>
          <w:tcPr>
            <w:tcW w:w="810" w:type="dxa"/>
            <w:vAlign w:val="bottom"/>
          </w:tcPr>
          <w:p w:rsidR="00043225" w:rsidRPr="000E15EF" w:rsidRDefault="00043225" w:rsidP="00043225">
            <w:r w:rsidRPr="000E15EF">
              <w:t>(8)</w:t>
            </w: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11340" w:type="dxa"/>
            <w:gridSpan w:val="3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10" w:type="dxa"/>
          </w:tcPr>
          <w:p w:rsidR="00043225" w:rsidRPr="000E15EF" w:rsidRDefault="00043225" w:rsidP="00043225"/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AA44A7" w:rsidP="00043225">
            <w:pPr>
              <w:rPr>
                <w:highlight w:val="cyan"/>
              </w:rPr>
            </w:pPr>
            <w:r w:rsidRPr="000E15EF">
              <w:t>2.2</w:t>
            </w:r>
          </w:p>
        </w:tc>
        <w:tc>
          <w:tcPr>
            <w:tcW w:w="11340" w:type="dxa"/>
            <w:gridSpan w:val="3"/>
          </w:tcPr>
          <w:p w:rsidR="00043225" w:rsidRPr="000E15EF" w:rsidRDefault="00043225" w:rsidP="00043225">
            <w:r w:rsidRPr="000E15EF">
              <w:t>Describe how quality of performance in the following business functions can contribute to the success of a business:</w:t>
            </w:r>
          </w:p>
        </w:tc>
        <w:tc>
          <w:tcPr>
            <w:tcW w:w="810" w:type="dxa"/>
          </w:tcPr>
          <w:p w:rsidR="00043225" w:rsidRPr="000E15EF" w:rsidRDefault="00043225" w:rsidP="00043225"/>
        </w:tc>
      </w:tr>
      <w:tr w:rsidR="000E15EF" w:rsidRPr="000E15EF" w:rsidTr="00AD6F9E">
        <w:trPr>
          <w:trHeight w:val="227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5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043225" w:rsidP="00043225"/>
        </w:tc>
        <w:tc>
          <w:tcPr>
            <w:tcW w:w="810" w:type="dxa"/>
            <w:gridSpan w:val="2"/>
          </w:tcPr>
          <w:p w:rsidR="00043225" w:rsidRPr="000E15EF" w:rsidRDefault="00AA44A7" w:rsidP="00043225">
            <w:r w:rsidRPr="000E15EF">
              <w:t>2.2</w:t>
            </w:r>
            <w:r w:rsidR="00043225" w:rsidRPr="000E15EF">
              <w:t>.1</w:t>
            </w:r>
          </w:p>
        </w:tc>
        <w:tc>
          <w:tcPr>
            <w:tcW w:w="10530" w:type="dxa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15EF">
              <w:rPr>
                <w:rFonts w:eastAsia="Calibri"/>
              </w:rPr>
              <w:t xml:space="preserve">Administration  </w:t>
            </w:r>
          </w:p>
        </w:tc>
        <w:tc>
          <w:tcPr>
            <w:tcW w:w="810" w:type="dxa"/>
          </w:tcPr>
          <w:p w:rsidR="00043225" w:rsidRPr="000E15EF" w:rsidRDefault="00043225" w:rsidP="00043225">
            <w:r w:rsidRPr="000E15EF">
              <w:t>(6)</w:t>
            </w:r>
          </w:p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530" w:type="dxa"/>
          </w:tcPr>
          <w:p w:rsidR="00043225" w:rsidRPr="000E15EF" w:rsidRDefault="00043225" w:rsidP="00043225">
            <w:pPr>
              <w:tabs>
                <w:tab w:val="left" w:pos="1980"/>
              </w:tabs>
              <w:rPr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043225" w:rsidP="00043225"/>
        </w:tc>
        <w:tc>
          <w:tcPr>
            <w:tcW w:w="810" w:type="dxa"/>
            <w:gridSpan w:val="2"/>
          </w:tcPr>
          <w:p w:rsidR="00043225" w:rsidRPr="000E15EF" w:rsidRDefault="00AA44A7" w:rsidP="00043225">
            <w:r w:rsidRPr="000E15EF">
              <w:t>2.2</w:t>
            </w:r>
            <w:r w:rsidR="00043225" w:rsidRPr="000E15EF">
              <w:t>.2</w:t>
            </w:r>
          </w:p>
        </w:tc>
        <w:tc>
          <w:tcPr>
            <w:tcW w:w="10530" w:type="dxa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Marketing</w:t>
            </w:r>
          </w:p>
        </w:tc>
        <w:tc>
          <w:tcPr>
            <w:tcW w:w="810" w:type="dxa"/>
          </w:tcPr>
          <w:p w:rsidR="00043225" w:rsidRPr="000E15EF" w:rsidRDefault="00043225" w:rsidP="00043225">
            <w:r w:rsidRPr="000E15EF">
              <w:t>(6)</w:t>
            </w:r>
          </w:p>
        </w:tc>
      </w:tr>
      <w:tr w:rsidR="000E15EF" w:rsidRPr="000E15EF" w:rsidTr="00AD6F9E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5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AD6F9E">
        <w:trPr>
          <w:trHeight w:val="283"/>
        </w:trPr>
        <w:tc>
          <w:tcPr>
            <w:tcW w:w="630" w:type="dxa"/>
          </w:tcPr>
          <w:p w:rsidR="00043225" w:rsidRPr="000E15EF" w:rsidRDefault="00AA44A7" w:rsidP="00043225">
            <w:r w:rsidRPr="000E15EF">
              <w:t>2.3</w:t>
            </w:r>
          </w:p>
        </w:tc>
        <w:tc>
          <w:tcPr>
            <w:tcW w:w="11340" w:type="dxa"/>
            <w:gridSpan w:val="3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 xml:space="preserve">Suggest ways in which total quality management (TQM) can reduce the cost of quality.   </w:t>
            </w:r>
          </w:p>
        </w:tc>
        <w:tc>
          <w:tcPr>
            <w:tcW w:w="810" w:type="dxa"/>
          </w:tcPr>
          <w:p w:rsidR="00043225" w:rsidRPr="00C33536" w:rsidRDefault="00043225" w:rsidP="00043225">
            <w:pPr>
              <w:rPr>
                <w:b/>
              </w:rPr>
            </w:pPr>
            <w:r w:rsidRPr="00C33536">
              <w:rPr>
                <w:b/>
              </w:rPr>
              <w:t>(8)</w:t>
            </w:r>
          </w:p>
          <w:p w:rsidR="00C33536" w:rsidRPr="00C33536" w:rsidRDefault="00C33536" w:rsidP="00043225">
            <w:pPr>
              <w:rPr>
                <w:b/>
              </w:rPr>
            </w:pPr>
            <w:r w:rsidRPr="00C33536">
              <w:rPr>
                <w:b/>
              </w:rPr>
              <w:t>[30]</w:t>
            </w:r>
          </w:p>
        </w:tc>
      </w:tr>
    </w:tbl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  <w:r w:rsidR="00AA44A7" w:rsidRPr="000E15EF">
        <w:rPr>
          <w:rFonts w:ascii="Calibri" w:eastAsia="Calibri" w:hAnsi="Calibri" w:cs="Times New Roman"/>
          <w:b/>
          <w:sz w:val="28"/>
          <w:szCs w:val="28"/>
        </w:rPr>
        <w:t>TOTAL 5</w:t>
      </w:r>
      <w:r w:rsidRPr="000E15EF">
        <w:rPr>
          <w:rFonts w:ascii="Calibri" w:eastAsia="Calibri" w:hAnsi="Calibri" w:cs="Times New Roman"/>
          <w:b/>
          <w:sz w:val="28"/>
          <w:szCs w:val="28"/>
        </w:rPr>
        <w:t>0</w:t>
      </w:r>
    </w:p>
    <w:p w:rsidR="00A45D82" w:rsidRP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sectPr w:rsidR="00A45D82" w:rsidRPr="00A45D82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70" w:rsidRDefault="001C1F70" w:rsidP="001630F6">
      <w:pPr>
        <w:spacing w:after="0" w:line="240" w:lineRule="auto"/>
      </w:pPr>
      <w:r>
        <w:separator/>
      </w:r>
    </w:p>
  </w:endnote>
  <w:endnote w:type="continuationSeparator" w:id="0">
    <w:p w:rsidR="001C1F70" w:rsidRDefault="001C1F7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70" w:rsidRDefault="001C1F70" w:rsidP="001630F6">
      <w:pPr>
        <w:spacing w:after="0" w:line="240" w:lineRule="auto"/>
      </w:pPr>
      <w:r>
        <w:separator/>
      </w:r>
    </w:p>
  </w:footnote>
  <w:footnote w:type="continuationSeparator" w:id="0">
    <w:p w:rsidR="001C1F70" w:rsidRDefault="001C1F70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6"/>
  </w:num>
  <w:num w:numId="5">
    <w:abstractNumId w:val="2"/>
  </w:num>
  <w:num w:numId="6">
    <w:abstractNumId w:val="21"/>
  </w:num>
  <w:num w:numId="7">
    <w:abstractNumId w:val="13"/>
  </w:num>
  <w:num w:numId="8">
    <w:abstractNumId w:val="1"/>
  </w:num>
  <w:num w:numId="9">
    <w:abstractNumId w:val="17"/>
  </w:num>
  <w:num w:numId="10">
    <w:abstractNumId w:val="14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18"/>
  </w:num>
  <w:num w:numId="16">
    <w:abstractNumId w:val="25"/>
  </w:num>
  <w:num w:numId="17">
    <w:abstractNumId w:val="24"/>
  </w:num>
  <w:num w:numId="18">
    <w:abstractNumId w:val="26"/>
  </w:num>
  <w:num w:numId="19">
    <w:abstractNumId w:val="27"/>
  </w:num>
  <w:num w:numId="20">
    <w:abstractNumId w:val="7"/>
  </w:num>
  <w:num w:numId="21">
    <w:abstractNumId w:val="23"/>
  </w:num>
  <w:num w:numId="22">
    <w:abstractNumId w:val="3"/>
  </w:num>
  <w:num w:numId="23">
    <w:abstractNumId w:val="11"/>
  </w:num>
  <w:num w:numId="24">
    <w:abstractNumId w:val="20"/>
  </w:num>
  <w:num w:numId="25">
    <w:abstractNumId w:val="15"/>
  </w:num>
  <w:num w:numId="26">
    <w:abstractNumId w:val="12"/>
  </w:num>
  <w:num w:numId="27">
    <w:abstractNumId w:val="10"/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DB0"/>
    <w:rsid w:val="001707DC"/>
    <w:rsid w:val="00171F58"/>
    <w:rsid w:val="00176880"/>
    <w:rsid w:val="00183D65"/>
    <w:rsid w:val="00184BA4"/>
    <w:rsid w:val="00194DB6"/>
    <w:rsid w:val="001A5CB0"/>
    <w:rsid w:val="001A772C"/>
    <w:rsid w:val="001B315B"/>
    <w:rsid w:val="001B39D2"/>
    <w:rsid w:val="001C1F70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2027"/>
    <w:rsid w:val="002A4246"/>
    <w:rsid w:val="002A6E60"/>
    <w:rsid w:val="002A7EB2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33D6"/>
    <w:rsid w:val="0078576C"/>
    <w:rsid w:val="00792232"/>
    <w:rsid w:val="00797D78"/>
    <w:rsid w:val="007A499C"/>
    <w:rsid w:val="007D01AA"/>
    <w:rsid w:val="007D22F6"/>
    <w:rsid w:val="007D4EFA"/>
    <w:rsid w:val="007E0D5B"/>
    <w:rsid w:val="007E3B14"/>
    <w:rsid w:val="007E509C"/>
    <w:rsid w:val="0081054B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927E1"/>
    <w:rsid w:val="00994714"/>
    <w:rsid w:val="009C05B6"/>
    <w:rsid w:val="009C606D"/>
    <w:rsid w:val="009D4DAF"/>
    <w:rsid w:val="009D5ACA"/>
    <w:rsid w:val="009E5419"/>
    <w:rsid w:val="009F1560"/>
    <w:rsid w:val="009F76DE"/>
    <w:rsid w:val="00A2654C"/>
    <w:rsid w:val="00A44F6D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1393"/>
    <w:rsid w:val="00AC21F9"/>
    <w:rsid w:val="00AD6F9E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7FB1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277B"/>
    <w:rsid w:val="00CC5DCE"/>
    <w:rsid w:val="00CD2564"/>
    <w:rsid w:val="00CD364A"/>
    <w:rsid w:val="00CE5298"/>
    <w:rsid w:val="00CF373F"/>
    <w:rsid w:val="00D03DCC"/>
    <w:rsid w:val="00D04562"/>
    <w:rsid w:val="00D059BE"/>
    <w:rsid w:val="00D1085F"/>
    <w:rsid w:val="00D142FE"/>
    <w:rsid w:val="00D255FE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46C4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418C0"/>
    <w:rsid w:val="00E45B92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586D"/>
    <w:rsid w:val="00ED6FE2"/>
    <w:rsid w:val="00EE3C95"/>
    <w:rsid w:val="00EE463E"/>
    <w:rsid w:val="00EF783B"/>
    <w:rsid w:val="00F33373"/>
    <w:rsid w:val="00F3436C"/>
    <w:rsid w:val="00F40E1F"/>
    <w:rsid w:val="00F4167D"/>
    <w:rsid w:val="00F42AB9"/>
    <w:rsid w:val="00F455F2"/>
    <w:rsid w:val="00F55489"/>
    <w:rsid w:val="00F81751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171C1-C9AD-4783-A3B9-9C35CA45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2020-04-17T09:09:00Z</dcterms:created>
  <dcterms:modified xsi:type="dcterms:W3CDTF">2020-04-17T09:09:00Z</dcterms:modified>
</cp:coreProperties>
</file>